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6ac9056691e344ac"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36248"/>
                <wp:effectExtent l="0" t="0" r="0" b="0"/>
                <wp:wrapNone/>
                <wp:docPr id="303" name="Rectangle 303"/>
                <wp:cNvGraphicFramePr/>
                <a:graphic xmlns:a="http://schemas.openxmlformats.org/drawingml/2006/main">
                  <a:graphicData uri="http://schemas.microsoft.com/office/word/2010/wordprocessingShape">
                    <wps:wsp>
                      <wps:cNvSpPr/>
                      <wps:spPr bwMode="auto">
                        <a:xfrm>
                          <a:off x="541800" y="1205640"/>
                          <a:ext cx="6508440" cy="8436248"/>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84"/>
                              <w:gridCol w:w="1134"/>
                              <w:gridCol w:w="1134"/>
                              <w:gridCol w:w="100"/>
                              <w:gridCol w:w="1078"/>
                              <w:gridCol w:w="1134"/>
                              <w:gridCol w:w="1134"/>
                              <w:gridCol w:w="1134"/>
                            </w:tblGrid>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 Identification of the substance/mixture and of the company/undertaking</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Product identifier</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Trade name/designation</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FIG TREE LEAF CANDLE 1811222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name</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Product-type</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Mixture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Relevant identified uses of the substance or mixture and uses advised against</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Relevant identified uses</w:t>
                                  </w:r>
                                </w:p>
                              </w:tc>
                              <w:tc>
                                <w:tcPr>
                                  <w:tcW w:w="4474"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Details of the supplier of the safety data sheet</w:t>
                                  </w:r>
                                </w:p>
                              </w:tc>
                            </w:tr>
                            <w:tr>
                              <w:trPr>
                                <w:trHeight w:val="91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Telephone : 03 89 22 77 65</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Emergency telephone number</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 +33 (0)3 89 22 77 65 ( from monday to wenesday - from 10am to 12am and from 2pm to 5pm )</w:t>
                                  </w: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2: Hazards identification</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of the substance or mixture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according to Regulation (EC) No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w:t>
                                  </w: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2</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Label elements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Labelling according to Regulation (EC) No.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Contains: 1-(1,2,3,4,5,6,7,8-octahydro-2,3,8,8-tetramethyl-2- naphthalenyl)ethanone (CAS No.: 54464-57-2)</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Signal word</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Warning</w:t>
                                  </w:r>
                                </w:p>
                              </w:tc>
                            </w:tr>
                            <w:tr>
                              <w:trPr>
                                <w:trHeight w:val="1361" w:hRule="exact"/>
                              </w:trPr>
                              <w:tc>
                                <w:tcPr>
                                  <w:tcW w:w="3340"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 pictograms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864000"/>
                                        <wp:effectExtent l="0" t="0" r="0" b="0"/>
                                        <wp:docPr id="30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5">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864000"/>
                                        <wp:effectExtent l="0" t="0" r="0" b="0"/>
                                        <wp:docPr id="30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6">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May cause an allergic skin reaction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Toxic to aquatic life with long lasting effects</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Precautionary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medical advice is needed, have product container or label at hand.</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Keep out of reach of children.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Read label before use.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Avoid release to the environment.</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P302+P352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ON SKIN: Wash with plenty of water and soap.</w:t>
                                  </w:r>
                                </w:p>
                              </w:tc>
                            </w:tr>
                          </w:tbl>
                          <w:tbl>
                            <w:tblPr>
                              <w:tblLayout w:type="fixed"/>
                              <w:tblInd w:w="0" w:type="dxa"/>
                              <w:tblCellMar>
                                <w:left w:w="0" w:type="dxa"/>
                                <w:right w:w="0" w:type="dxa"/>
                              </w:tblCellMar>
                            </w:tblPr>
                            <w:tblGrid>
                              <w:gridCol w:w="2268"/>
                              <w:gridCol w:w="226"/>
                              <w:gridCol w:w="568"/>
                              <w:gridCol w:w="1474"/>
                              <w:gridCol w:w="1078"/>
                              <w:gridCol w:w="2268"/>
                              <w:gridCol w:w="2268"/>
                            </w:tblGrid>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P333+P313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skin irritation or rash occurs: Get medical advice/attention.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P391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Collect spillage.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Dispose of container to an appropriate recycling or disposal facility.</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EUH-phrases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130"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Contains 1-(1,2,3,4,5,6,7,8-octahydro-2,3,8,8-tetramethyl-2- naphthalenyl)ethanone (54464-57-2) | alpha-iso-methylionone (127-51-5) | 4-tert-butylcyclohexyl acetate (32210-23-4) | 1,2,3,5,6,7-hexahydro-1,1,2,3,3-pentamethyl-4H-inden-4-one (cashmeran) (33704-61-9) | methyl cedryl ether (19870-74-7) . May produce an allergic reaction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Other hazards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PBT-substance.</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vPvB-substance.</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3: Composition / information on ingredients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Mixtures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Chemical name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Specific concentration limit</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1-(1,2,3,4,5,6,7,8-octahydro-2, 3,8,8-tetramethyl-2- naphthalenyl)ethanone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54464-57-2</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259-174-3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methyl cedryl ether</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19870-74-7</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243-384-7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1 / 1</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alpha-iso-methylionone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127-51-5</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204-846-3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 1</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1,2,3,5,6,7-hexahydro-1,1,2,3, 3-pentamethyl-4H-inden-4-one (cashmeran)</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33704-61-9</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251-649-3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alpha-cedrene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469-61-4</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207-418-4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10 / 10</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4-tert-butylcyclohexyl acetate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32210-23-4</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250-954-9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4: First aid measures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of first aid measures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fresh air.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After contact with skin, wash immediately with plenty of water and soap.</w:t>
                                  </w: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skin reactions, consult a physician.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immediately carefully and thoroughly with eye-bath or water.</w:t>
                                  </w: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eye irritation consult an ophthalmologist.</w:t>
                                  </w:r>
                                </w:p>
                              </w:tc>
                            </w:tr>
                          </w:tbl>
                          <w:tbl>
                            <w:tblPr>
                              <w:tblLayout w:type="fixed"/>
                              <w:tblInd w:w="0" w:type="dxa"/>
                              <w:tblCellMar>
                                <w:left w:w="0" w:type="dxa"/>
                                <w:right w:w="0" w:type="dxa"/>
                              </w:tblCellMar>
                            </w:tblPr>
                            <w:tblGrid>
                              <w:gridCol w:w="4536"/>
                              <w:gridCol w:w="5614"/>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mouth thoroughly with water.</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induce vomiting.</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Most important symptoms and effects, both acute and delayed</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inhalation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skin contact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skin irritation.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eye contact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eye irritation.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of any immediate medical attention and special treatment needed</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5: Firefighting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Extinguishing media</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Suitable extinguishing media</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ABC-powder</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Carbon dioxide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Foam</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Extinguishing powder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Unsuitable extinguishing media</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Full water jet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Special hazards arising from the substance or mixture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hazards arising from the substance or  mixture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Hazardous decomposition products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Advice for firefighters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Co-ordinate fire-fighting measures to the fire surroundings.</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6: Accidental release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Personal precautions, protective equipment and emergency procedures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non-emergency personnel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emergency responders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Environmental precautions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allow to enter into surface water or drains.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Methods and material for containment and cleaning up</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containment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Treat the recovered material as prescribed in the section on waste disposal.</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cleaning up</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Take up mechanically.</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Inappropriate techniques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Reference to other sections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Personal protection equipment: see section 8</w:t>
                                  </w: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Disposal: see section 13</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7: Handling and storage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Precautions for safe handling</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Recommendation</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Eye contact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Skin contact</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Advices on general occupational hygiene</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for safe storage, including any incompatibilities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 against:Heat</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Specific end use(s)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8: Exposure controls/personal protection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Control parameters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Exposure controls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Appropriate engineering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Individual protection measures, such as personal protective equipment</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get in eyes, on skin, or on clothing.</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Environmental exposure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release to the environment.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empty into drains.</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9: Physical and chemical properties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 on basic physical and chemical properties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Physical state</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Appearance</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Colour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White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Odour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characteristic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Odour threshold</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Melting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Freezing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Boiling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Flash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Evaporation rate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flammability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Lower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Upper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bl>
                          <w:tbl>
                            <w:tblPr>
                              <w:tblLayout w:type="fixed"/>
                              <w:tblInd w:w="0" w:type="dxa"/>
                              <w:tblCellMar>
                                <w:left w:w="0" w:type="dxa"/>
                                <w:right w:w="0" w:type="dxa"/>
                              </w:tblCellMar>
                            </w:tblPr>
                            <w:tblGrid>
                              <w:gridCol w:w="2836"/>
                              <w:gridCol w:w="2268"/>
                              <w:gridCol w:w="5046"/>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pressure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density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Relative density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(Water)</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(Ethanol)</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(Acetone)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(Organic solvents)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Auto-ignition temperature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Decomposition temperature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Kinematic viscosity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Dynamic viscosity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Particle characteristics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Particle size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Other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VOC content</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Minimum ignition energy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10: Stability and reactivity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Reactivity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This material is considered to be non-reactive under normal use conditions.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Chemical stability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Possibility of hazardous reactions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hazardous reaction when handled and stored according to provisions.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to avoid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Incompatible materials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Hazardous decomposition products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Does not decompose when used for intended uses.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11: Toxicological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 on toxicological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Acute toxicity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bl>
                          <w:tbl>
                            <w:tblPr>
                              <w:tblLayout w:type="fixed"/>
                              <w:tblInd w:w="0" w:type="dxa"/>
                              <w:tblCellMar>
                                <w:left w:w="0" w:type="dxa"/>
                                <w:right w:w="0" w:type="dxa"/>
                              </w:tblCellMar>
                            </w:tblPr>
                            <w:tblGrid>
                              <w:gridCol w:w="2836"/>
                              <w:gridCol w:w="2268"/>
                              <w:gridCol w:w="2268"/>
                              <w:gridCol w:w="2778"/>
                            </w:tblGrid>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Based on available data, the classification criteria are not met.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Skin corrosion/irritation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skin.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Serious eye damage/eye  irritation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eyes.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Respiratory or skin  sensitisation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Skin sensitization - Category 1 - May cause an allergic skin reaction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sensitization by skin contact.</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an allergic skin reaction.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Germ cell mutagenicity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Carcinogenicity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Reproductive toxicity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STOT-single exposure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STOT-repeated exposure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Aspiration hazard</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 on other hazards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12: Ecological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Very toxic to aquatic life with long lasting effects.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Persistence and degradability</w:t>
                                  </w:r>
                                </w:p>
                              </w:tc>
                            </w:tr>
                          </w:tbl>
                          <w:tbl>
                            <w:tblPr>
                              <w:tblLayout w:type="fixed"/>
                              <w:tblInd w:w="0" w:type="dxa"/>
                              <w:tblCellMar>
                                <w:left w:w="0" w:type="dxa"/>
                                <w:right w:w="0" w:type="dxa"/>
                              </w:tblCellMar>
                            </w:tblPr>
                            <w:tblGrid>
                              <w:gridCol w:w="2836"/>
                              <w:gridCol w:w="510"/>
                              <w:gridCol w:w="1190"/>
                              <w:gridCol w:w="568"/>
                              <w:gridCol w:w="5046"/>
                            </w:tblGrid>
                            <w:tr>
                              <w:trPr>
                                <w:trHeight w:val="218" w:hRule="atLeast"/>
                              </w:trPr>
                              <w:tc>
                                <w:tcPr>
                                  <w:tcW w:w="5098" w:type="dxa"/>
                                  <w:gridSpan w:val="4"/>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Biochemical oxygen demand (BOD)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4"/>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oyxgen demand (COD)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4"/>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of biodegradation in 28 days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Bioaccumulative potential</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4"/>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Bioconcentration factor (BCF)</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4"/>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indication of bioaccumulation potential.</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Mobility in soil</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Results of PBT and vPvB assessment</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Endocrine disrupting properties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Other adverse effects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13: Disposal considerations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Waste treatment methods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Waste treatment methods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Dispose of waste according to applicable legislation.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Sewage disposal</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precautions for waste treatment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Community or national or regional provisions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14: Transport information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UN number</w:t>
                                  </w:r>
                                </w:p>
                              </w:tc>
                            </w:tr>
                            <w:tr>
                              <w:trPr>
                                <w:trHeight w:val="170"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 number (ADR)</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80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UN3077</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 number (IMDG)</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80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UN3077</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 number (IATA)</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80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UN3077</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UN proper shipping name</w:t>
                                  </w:r>
                                </w:p>
                              </w:tc>
                            </w:tr>
                            <w:tr>
                              <w:trPr>
                                <w:trHeight w:val="170"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 proper shipping name  (ADR)</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80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ENVIRONMENTALLY HAZARDOUS SUBSTANCE, SOLID, N.O.S.</w:t>
                                  </w: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 proper shipping name  (IMDG)</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80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ENVIRONMENTALLY HAZARDOUS SUBSTANCE, SOLID, N.O.S.</w:t>
                                  </w: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 proper shipping name  (IATA)</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80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ENVIRONMENTALLY HAZARDOUS SUBSTANCE, SOLID, N.O.S.</w:t>
                                  </w:r>
                                </w:p>
                              </w:tc>
                            </w:tr>
                          </w:tbl>
                          <w:tbl>
                            <w:tblPr>
                              <w:tblLayout w:type="fixed"/>
                              <w:tblInd w:w="0" w:type="dxa"/>
                              <w:tblCellMar>
                                <w:left w:w="0" w:type="dxa"/>
                                <w:right w:w="0" w:type="dxa"/>
                              </w:tblCellMar>
                            </w:tblPr>
                            <w:tblGrid>
                              <w:gridCol w:w="2836"/>
                              <w:gridCol w:w="568"/>
                              <w:gridCol w:w="2212"/>
                              <w:gridCol w:w="1134"/>
                              <w:gridCol w:w="1134"/>
                              <w:gridCol w:w="1134"/>
                              <w:gridCol w:w="1134"/>
                            </w:tblGrid>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Transport hazard class(es)</w:t>
                                  </w:r>
                                </w:p>
                              </w:tc>
                            </w:tr>
                            <w:tr>
                              <w:trPr>
                                <w:trHeight w:val="170"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Transport hazard  class(es)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9</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Classification code: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M7</w:t>
                                  </w:r>
                                </w:p>
                              </w:tc>
                            </w:tr>
                            <w:tr>
                              <w:trPr>
                                <w:trHeight w:val="1134" w:hRule="exact"/>
                              </w:trPr>
                              <w:tc>
                                <w:tcPr>
                                  <w:tcW w:w="5608"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Pictograms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720000"/>
                                        <wp:effectExtent l="0" t="0" r="0" b="0"/>
                                        <wp:docPr id="38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24">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Transport hazard class(es)  (IMDG)</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9</w:t>
                                  </w:r>
                                </w:p>
                              </w:tc>
                            </w:tr>
                            <w:tr>
                              <w:trPr>
                                <w:trHeight w:val="1134" w:hRule="exact"/>
                              </w:trPr>
                              <w:tc>
                                <w:tcPr>
                                  <w:tcW w:w="5608"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Pictograms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720000"/>
                                        <wp:effectExtent l="0" t="0" r="0" b="0"/>
                                        <wp:docPr id="38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25">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Transport hazard class(es)  (IATA)</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9</w:t>
                                  </w:r>
                                </w:p>
                              </w:tc>
                            </w:tr>
                            <w:tr>
                              <w:trPr>
                                <w:trHeight w:val="1134" w:hRule="exact"/>
                              </w:trPr>
                              <w:tc>
                                <w:tcPr>
                                  <w:tcW w:w="5608"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Pictograms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720000"/>
                                        <wp:effectExtent l="0" t="0" r="0" b="0"/>
                                        <wp:docPr id="38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26">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Packing group</w:t>
                                  </w:r>
                                </w:p>
                              </w:tc>
                            </w:tr>
                            <w:tr>
                              <w:trPr>
                                <w:trHeight w:val="170"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Packing group</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III</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Packing group (IMDG)</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III</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Packing group (IATA)</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III</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Environmental hazards</w:t>
                                  </w:r>
                                </w:p>
                              </w:tc>
                            </w:tr>
                            <w:tr>
                              <w:trPr>
                                <w:trHeight w:val="170"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Environmental hazards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Yes.</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Marine pollutant</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2</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Special precautions for user</w:t>
                                  </w:r>
                                </w:p>
                              </w:tc>
                            </w:tr>
                          </w:tbl>
                          <w:tbl>
                            <w:tblPr>
                              <w:tblLayout w:type="fixed"/>
                              <w:tblInd w:w="0" w:type="dxa"/>
                              <w:tblCellMar>
                                <w:left w:w="0" w:type="dxa"/>
                                <w:right w:w="0" w:type="dxa"/>
                              </w:tblCellMar>
                            </w:tblPr>
                            <w:tblGrid>
                              <w:gridCol w:w="5670"/>
                              <w:gridCol w:w="568"/>
                              <w:gridCol w:w="3912"/>
                            </w:tblGrid>
                            <w:tr>
                              <w:trPr>
                                <w:trHeight w:val="236"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true"/>
                                      <w:i w:val="false"/>
                                      <w:strike w:val="false"/>
                                      <w:color w:val="000000"/>
                                      <w:spacing w:val="0"/>
                                      <w:sz w:val="20"/>
                                      <w:u w:val="single"/>
                                    </w:rPr>
                                    <w:t xml:space="preserve">ADR</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Classification code: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M7</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Special provisions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274+335+375+601</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Limited quantity (LQ)</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5 kg</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Excepted quantities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E1</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Packing instructions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P002 IBC08 LP02 R001</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Special packing provisions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PP12 B3</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Mixed packing provisions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MP10</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Instructions for portable tanks and bulk containers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T1</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provisions for portable tanks and bulk containers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TP33</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tank code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SGAV LGBV</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tanks special provisions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Vehicle for tank carriage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AT</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Transport category</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3</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Tunnel restriction code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Special provisions loading, unloading and handling</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CV13</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provisions - Packages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V13</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provisions - Bulk</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VC1 VC2</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provisions - Operation</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Hazard identification number (Kemler No.)</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90</w:t>
                                  </w:r>
                                </w:p>
                              </w:tc>
                            </w:tr>
                            <w:tr>
                              <w:trPr>
                                <w:trHeight w:val="170"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36"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true"/>
                                      <w:i w:val="false"/>
                                      <w:strike w:val="false"/>
                                      <w:color w:val="000000"/>
                                      <w:spacing w:val="0"/>
                                      <w:sz w:val="20"/>
                                      <w:u w:val="single"/>
                                    </w:rPr>
                                    <w:t xml:space="preserve">IMDG</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provisions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335, 966, 274, 967, 969</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Limited quantity (LQ)</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5 kg</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Excepted quantities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Packing instructions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packing provisions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IBC instruction(s)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IBC provisions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Instructions for portable tanks and bulk containers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provisions for portable tanks and bulk containers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EmS codes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 S-F</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Stowage and handling</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Segregation</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Properties and observations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70"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36"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true"/>
                                      <w:i w:val="false"/>
                                      <w:strike w:val="false"/>
                                      <w:color w:val="000000"/>
                                      <w:spacing w:val="0"/>
                                      <w:sz w:val="20"/>
                                      <w:u w:val="single"/>
                                    </w:rPr>
                                    <w:t xml:space="preserve">IATA</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PCA - Excepted quantities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PCA - Limited Quantity - Packing Instructions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PCA - Limited Quantity - Maximum Net Quantity per Package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PCA - Packing Instructions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PCA - Maximum Net Quantity per Package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CAO - Packing Instructions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CAO - Maximum Net Quantity per Package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Provisions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ERG Code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bl>
                          <w:tbl>
                            <w:tblPr>
                              <w:tblLayout w:type="fixed"/>
                              <w:tblInd w:w="0" w:type="dxa"/>
                              <w:tblCellMar>
                                <w:left w:w="0" w:type="dxa"/>
                                <w:right w:w="0" w:type="dxa"/>
                              </w:tblCellMar>
                            </w:tblPr>
                            <w:tblGrid>
                              <w:gridCol w:w="964"/>
                              <w:gridCol w:w="738"/>
                              <w:gridCol w:w="510"/>
                              <w:gridCol w:w="624"/>
                              <w:gridCol w:w="568"/>
                              <w:gridCol w:w="1078"/>
                              <w:gridCol w:w="5670"/>
                            </w:tblGrid>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in bulk according to Annex II of MARPOL 73/78 and the IBC Code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15: Regulatory information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Safety, health and environmental regulations/legislation specific for the substance or 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VOC content</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Perfumes: 5% or more but less than 15%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Chemical Safety Assessment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Chemical safety assessment carried  out for the product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16: Other information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SDS versions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Issue date</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Author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of the amendments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13/03/2021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Texts of the regulatory sentences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 Tox.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Aspiration hazard - Category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irritation - Category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May cause an allergic skin reaction</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Toxic to aquatic life with long lasting effects</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Category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1B</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The information in this sheet is based on the state of our knowledge relating to the product concerned, on the date indicated. The purpose of this Safety Data Sheet is to provide information to the user, to enable him to assess the risks to safety and health during transport, storage or use of the product at the place of job. The attention of users is further drawn to the possible risks incurred when a product is used for purposes other than that for which it is designed.</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Computer generated document, valid without signature.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06" name="Rectangle 30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07" name="Rectangle 30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08" name="Rectangle 30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FIG TREE LEAF CANDLE 1811222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09" name="Rectangle 30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10" name="Rectangle 31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1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12" name="Rectangle 31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13" name="Rectangle 31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13.03.2021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14" name="Rectangle 31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15" name="Rectangle 31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35884"/>
                <wp:effectExtent l="0" t="0" r="0" b="0"/>
                <wp:wrapNone/>
                <wp:docPr id="316" name="Rectangle 316"/>
                <wp:cNvGraphicFramePr/>
                <a:graphic xmlns:a="http://schemas.openxmlformats.org/drawingml/2006/main">
                  <a:graphicData uri="http://schemas.microsoft.com/office/word/2010/wordprocessingShape">
                    <wps:wsp>
                      <wps:cNvSpPr/>
                      <wps:spPr bwMode="auto">
                        <a:xfrm>
                          <a:off x="541800" y="1205640"/>
                          <a:ext cx="6508440" cy="8435884"/>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17" name="Rectangle 31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18" name="Rectangle 31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19" name="Rectangle 31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FIG TREE LEAF CANDLE 1811222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20" name="Rectangle 32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21" name="Rectangle 32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23" name="Rectangle 32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24" name="Rectangle 32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13.03.2021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25" name="Rectangle 32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26" name="Rectangle 32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48630"/>
                <wp:effectExtent l="0" t="0" r="0" b="0"/>
                <wp:wrapNone/>
                <wp:docPr id="327" name="Rectangle 327"/>
                <wp:cNvGraphicFramePr/>
                <a:graphic xmlns:a="http://schemas.openxmlformats.org/drawingml/2006/main">
                  <a:graphicData uri="http://schemas.microsoft.com/office/word/2010/wordprocessingShape">
                    <wps:wsp>
                      <wps:cNvSpPr/>
                      <wps:spPr bwMode="auto">
                        <a:xfrm>
                          <a:off x="541800" y="1205640"/>
                          <a:ext cx="6508440" cy="8248630"/>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28" name="Rectangle 32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29" name="Rectangle 32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30" name="Rectangle 33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FIG TREE LEAF CANDLE 1811222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31" name="Rectangle 33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32" name="Rectangle 33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3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34" name="Rectangle 33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35" name="Rectangle 33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13.03.2021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36" name="Rectangle 33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37" name="Rectangle 33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50792"/>
                <wp:effectExtent l="0" t="0" r="0" b="0"/>
                <wp:wrapNone/>
                <wp:docPr id="338" name="Rectangle 338"/>
                <wp:cNvGraphicFramePr/>
                <a:graphic xmlns:a="http://schemas.openxmlformats.org/drawingml/2006/main">
                  <a:graphicData uri="http://schemas.microsoft.com/office/word/2010/wordprocessingShape">
                    <wps:wsp>
                      <wps:cNvSpPr/>
                      <wps:spPr bwMode="auto">
                        <a:xfrm>
                          <a:off x="541800" y="1205640"/>
                          <a:ext cx="6508440" cy="8450792"/>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39" name="Rectangle 33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40" name="Rectangle 34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41" name="Rectangle 34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FIG TREE LEAF CANDLE 1811222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42" name="Rectangle 34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43" name="Rectangle 34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4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45" name="Rectangle 34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46" name="Rectangle 34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13.03.2021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47" name="Rectangle 34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48" name="Rectangle 34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505332"/>
                <wp:effectExtent l="0" t="0" r="0" b="0"/>
                <wp:wrapNone/>
                <wp:docPr id="349" name="Rectangle 349"/>
                <wp:cNvGraphicFramePr/>
                <a:graphic xmlns:a="http://schemas.openxmlformats.org/drawingml/2006/main">
                  <a:graphicData uri="http://schemas.microsoft.com/office/word/2010/wordprocessingShape">
                    <wps:wsp>
                      <wps:cNvSpPr/>
                      <wps:spPr bwMode="auto">
                        <a:xfrm>
                          <a:off x="541800" y="1205640"/>
                          <a:ext cx="6508440" cy="8505332"/>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50" name="Rectangle 35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51" name="Rectangle 35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52" name="Rectangle 35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FIG TREE LEAF CANDLE 1811222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53" name="Rectangle 35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54" name="Rectangle 35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5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56" name="Rectangle 35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57" name="Rectangle 35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13.03.2021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58" name="Rectangle 35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59" name="Rectangle 35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96252"/>
                <wp:effectExtent l="0" t="0" r="0" b="0"/>
                <wp:wrapNone/>
                <wp:docPr id="360" name="Rectangle 360"/>
                <wp:cNvGraphicFramePr/>
                <a:graphic xmlns:a="http://schemas.openxmlformats.org/drawingml/2006/main">
                  <a:graphicData uri="http://schemas.microsoft.com/office/word/2010/wordprocessingShape">
                    <wps:wsp>
                      <wps:cNvSpPr/>
                      <wps:spPr bwMode="auto">
                        <a:xfrm>
                          <a:off x="541800" y="1205640"/>
                          <a:ext cx="6508440" cy="8396252"/>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61" name="Rectangle 36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62" name="Rectangle 36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63" name="Rectangle 36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FIG TREE LEAF CANDLE 1811222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64" name="Rectangle 36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65" name="Rectangle 36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6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67" name="Rectangle 36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68" name="Rectangle 36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13.03.2021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69" name="Rectangle 36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70" name="Rectangle 37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504604"/>
                <wp:effectExtent l="0" t="0" r="0" b="0"/>
                <wp:wrapNone/>
                <wp:docPr id="371" name="Rectangle 371"/>
                <wp:cNvGraphicFramePr/>
                <a:graphic xmlns:a="http://schemas.openxmlformats.org/drawingml/2006/main">
                  <a:graphicData uri="http://schemas.microsoft.com/office/word/2010/wordprocessingShape">
                    <wps:wsp>
                      <wps:cNvSpPr/>
                      <wps:spPr bwMode="auto">
                        <a:xfrm>
                          <a:off x="541800" y="1205640"/>
                          <a:ext cx="6508440" cy="8504604"/>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72" name="Rectangle 37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73" name="Rectangle 37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74" name="Rectangle 37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FIG TREE LEAF CANDLE 1811222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75" name="Rectangle 37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76" name="Rectangle 37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7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3">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78" name="Rectangle 37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79" name="Rectangle 37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13.03.2021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80" name="Rectangle 38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81" name="Rectangle 38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5708520"/>
                <wp:effectExtent l="0" t="0" r="0" b="0"/>
                <wp:wrapNone/>
                <wp:docPr id="382" name="Rectangle 382"/>
                <wp:cNvGraphicFramePr/>
                <a:graphic xmlns:a="http://schemas.openxmlformats.org/drawingml/2006/main">
                  <a:graphicData uri="http://schemas.microsoft.com/office/word/2010/wordprocessingShape">
                    <wps:wsp>
                      <wps:cNvSpPr/>
                      <wps:spPr bwMode="auto">
                        <a:xfrm>
                          <a:off x="541800" y="1205640"/>
                          <a:ext cx="6508440" cy="5708520"/>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86" name="Rectangle 38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87" name="Rectangle 38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88" name="Rectangle 38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FIG TREE LEAF CANDLE 1811222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89" name="Rectangle 38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90" name="Rectangle 39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9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92" name="Rectangle 39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93" name="Rectangle 39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13.03.2021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94" name="Rectangle 39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95" name="Rectangle 39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64628"/>
                <wp:effectExtent l="0" t="0" r="0" b="0"/>
                <wp:wrapNone/>
                <wp:docPr id="396" name="Rectangle 396"/>
                <wp:cNvGraphicFramePr/>
                <a:graphic xmlns:a="http://schemas.openxmlformats.org/drawingml/2006/main">
                  <a:graphicData uri="http://schemas.microsoft.com/office/word/2010/wordprocessingShape">
                    <wps:wsp>
                      <wps:cNvSpPr/>
                      <wps:spPr bwMode="auto">
                        <a:xfrm>
                          <a:off x="541800" y="1205640"/>
                          <a:ext cx="6508440" cy="8264628"/>
                        </a:xfrm>
                        <a:prstGeom prst="rect">
                          <a:avLst/>
                        </a:prstGeom>
                        <a:ln w="0" cap="sq" cmpd="sng">
                          <a:noFill/>
                          <a:miter lim="800000"/>
                        </a:ln>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97" name="Rectangle 39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9/10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98" name="Rectangle 39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99" name="Rectangle 39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FIG TREE LEAF CANDLE 1811222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00" name="Rectangle 40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01" name="Rectangle 40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0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03" name="Rectangle 40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04" name="Rectangle 40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13.03.2021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05" name="Rectangle 40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06" name="Rectangle 40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25712"/>
                <wp:effectExtent l="0" t="0" r="0" b="0"/>
                <wp:wrapNone/>
                <wp:docPr id="407" name="Rectangle 407"/>
                <wp:cNvGraphicFramePr/>
                <a:graphic xmlns:a="http://schemas.openxmlformats.org/drawingml/2006/main">
                  <a:graphicData uri="http://schemas.microsoft.com/office/word/2010/wordprocessingShape">
                    <wps:wsp>
                      <wps:cNvSpPr/>
                      <wps:spPr bwMode="auto">
                        <a:xfrm>
                          <a:off x="541800" y="1205640"/>
                          <a:ext cx="6508440" cy="8325712"/>
                        </a:xfrm>
                        <a:prstGeom prst="rect">
                          <a:avLst/>
                        </a:prstGeom>
                        <a:ln w="0" cap="sq" cmpd="sng">
                          <a:noFill/>
                          <a:miter lim="800000"/>
                        </a:ln>
                      </wps:spPr>
                      <wps:linkedTxbx id="1" seq="9"/>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08" name="Rectangle 40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10/10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09" name="Rectangle 40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10" name="Rectangle 41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FIG TREE LEAF CANDLE 1811222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11" name="Rectangle 41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12" name="Rectangle 41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1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14" name="Rectangle 41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15" name="Rectangle 41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13.03.2021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16" name="Rectangle 41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17" name="Rectangle 41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926" Type="http://schemas.openxmlformats.org/officeDocument/2006/relationships/image" Target="/media/image12.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image" Target="/media/image11.jpg"/><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image" Target="/media/image10.jpg"/><Relationship Id="rId929" Type="http://schemas.openxmlformats.org/officeDocument/2006/relationships/image" Target="/media/image15.jpg"/><Relationship Id="rId932" Type="http://schemas.openxmlformats.org/officeDocument/2006/relationships/customXml" Target="../customXml/item3.xml"/><Relationship Id="rId1" Type="http://schemas.openxmlformats.org/officeDocument/2006/relationships/styles" Target="/word/styles.xml"/><Relationship Id="rId915" Type="http://schemas.openxmlformats.org/officeDocument/2006/relationships/image" Target="/media/image.jpg"/><Relationship Id="rId928" Type="http://schemas.openxmlformats.org/officeDocument/2006/relationships/image" Target="/media/image14.jpg"/><Relationship Id="rId5" Type="http://schemas.openxmlformats.org/officeDocument/2006/relationships/theme" Target="/word/theme/theme1.xml"/><Relationship Id="rId923" Type="http://schemas.openxmlformats.org/officeDocument/2006/relationships/image" Target="/media/image9.jpg"/><Relationship Id="rId931" Type="http://schemas.openxmlformats.org/officeDocument/2006/relationships/customXml" Target="../customXml/item2.xml"/><Relationship Id="rId919" Type="http://schemas.openxmlformats.org/officeDocument/2006/relationships/image" Target="/media/image5.jpg"/><Relationship Id="rId922" Type="http://schemas.openxmlformats.org/officeDocument/2006/relationships/image" Target="/media/image8.jpg"/><Relationship Id="rId927" Type="http://schemas.openxmlformats.org/officeDocument/2006/relationships/image" Target="/media/image13.jpg"/><Relationship Id="rId4" Type="http://schemas.openxmlformats.org/officeDocument/2006/relationships/fontTable" Target="/word/fontTable.xml"/><Relationship Id="rId918" Type="http://schemas.openxmlformats.org/officeDocument/2006/relationships/image" Target="/media/image4.jpg"/><Relationship Id="rId930" Type="http://schemas.openxmlformats.org/officeDocument/2006/relationships/customXml" Target="../customXml/item1.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1BD77BEF-DD3A-41E0-B2B1-E61FC7CB844A}"/>
</file>

<file path=customXml/itemProps2.xml><?xml version="1.0" encoding="utf-8"?>
<ds:datastoreItem xmlns:ds="http://schemas.openxmlformats.org/officeDocument/2006/customXml" ds:itemID="{89DBDC1D-F847-4443-B7FB-EC4D3D522E1F}"/>
</file>

<file path=customXml/itemProps3.xml><?xml version="1.0" encoding="utf-8"?>
<ds:datastoreItem xmlns:ds="http://schemas.openxmlformats.org/officeDocument/2006/customXml" ds:itemID="{247408F5-160A-46FC-9637-38878B3004D5}"/>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