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71d47880fce2410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888"/>
                <wp:effectExtent l="0" t="0" r="0" b="0"/>
                <wp:wrapNone/>
                <wp:docPr id="1040" name="Rectangle 1040"/>
                <wp:cNvGraphicFramePr/>
                <a:graphic xmlns:a="http://schemas.openxmlformats.org/drawingml/2006/main">
                  <a:graphicData uri="http://schemas.microsoft.com/office/word/2010/wordprocessingShape">
                    <wps:wsp>
                      <wps:cNvSpPr/>
                      <wps:spPr bwMode="auto">
                        <a:xfrm>
                          <a:off x="541800" y="1205640"/>
                          <a:ext cx="6508440" cy="839988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GARDENIA CANDLE 1601652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linalool (CAS No.: 78-70-6)||α-hexylcinnamaldehyde (CAS No.: 101-86-0)||7-hydroxycitronellal (CAS No.: 107-75-5)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0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8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1-(1,2,3,4,5,6,7,8-octahydro-2,3,8,8-tetramethyl-2- naphthalenyl)ethanone (54464-57-2) | linalool (78-70-6) | α-hexylcinnamaldehyde (101-86-0) | eugenol (97-53-0) | 7-hydroxycitronellal (107-75-5) | α-methyl-1,3-benzodioxole-5-propionaldehyde (alpha-methyl-3,4-methylene-dioxyhydrocinnamic aldehyde) (1205-17-0) | 3,7-dimethyloctan-3-ol (tetrahydrolinalool) (78-69-3)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2,08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78-69-3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97-53-0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bl>
                          <w:tbl>
                            <w:tblPr>
                              <w:tblLayout w:type="fixed"/>
                              <w:tblInd w:w="0" w:type="dxa"/>
                              <w:tblCellMar>
                                <w:left w:w="0" w:type="dxa"/>
                                <w:right w:w="0" w:type="dxa"/>
                              </w:tblCellMar>
                            </w:tblPr>
                            <w:tblGrid>
                              <w:gridCol w:w="2836"/>
                              <w:gridCol w:w="2268"/>
                              <w:gridCol w:w="2268"/>
                              <w:gridCol w:w="2778"/>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Reproductive toxicity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42" name="Rectangle 10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3" name="Rectangle 10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4" name="Rectangle 10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5" name="Rectangle 10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46" name="Rectangle 10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48" name="Rectangle 10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9" name="Rectangle 10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0" name="Rectangle 10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1" name="Rectangle 10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09360"/>
                <wp:effectExtent l="0" t="0" r="0" b="0"/>
                <wp:wrapNone/>
                <wp:docPr id="1052" name="Rectangle 1052"/>
                <wp:cNvGraphicFramePr/>
                <a:graphic xmlns:a="http://schemas.openxmlformats.org/drawingml/2006/main">
                  <a:graphicData uri="http://schemas.microsoft.com/office/word/2010/wordprocessingShape">
                    <wps:wsp>
                      <wps:cNvSpPr/>
                      <wps:spPr bwMode="auto">
                        <a:xfrm>
                          <a:off x="541800" y="1205640"/>
                          <a:ext cx="6508440" cy="820936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53" name="Rectangle 10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4" name="Rectangle 10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5" name="Rectangle 10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56" name="Rectangle 10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7" name="Rectangle 10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9" name="Rectangle 10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0" name="Rectangle 10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1" name="Rectangle 10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62" name="Rectangle 10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1063" name="Rectangle 1063"/>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4" name="Rectangle 10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5" name="Rectangle 10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66" name="Rectangle 10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7" name="Rectangle 10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68" name="Rectangle 10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0" name="Rectangle 10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71" name="Rectangle 10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72" name="Rectangle 10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73" name="Rectangle 10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064"/>
                <wp:effectExtent l="0" t="0" r="0" b="0"/>
                <wp:wrapNone/>
                <wp:docPr id="1074" name="Rectangle 1074"/>
                <wp:cNvGraphicFramePr/>
                <a:graphic xmlns:a="http://schemas.openxmlformats.org/drawingml/2006/main">
                  <a:graphicData uri="http://schemas.microsoft.com/office/word/2010/wordprocessingShape">
                    <wps:wsp>
                      <wps:cNvSpPr/>
                      <wps:spPr bwMode="auto">
                        <a:xfrm>
                          <a:off x="541800" y="1205640"/>
                          <a:ext cx="6508440" cy="84500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75" name="Rectangle 10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76" name="Rectangle 10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77" name="Rectangle 10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78" name="Rectangle 10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9" name="Rectangle 10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81" name="Rectangle 10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82" name="Rectangle 10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83" name="Rectangle 10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84" name="Rectangle 10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9176"/>
                <wp:effectExtent l="0" t="0" r="0" b="0"/>
                <wp:wrapNone/>
                <wp:docPr id="1085" name="Rectangle 1085"/>
                <wp:cNvGraphicFramePr/>
                <a:graphic xmlns:a="http://schemas.openxmlformats.org/drawingml/2006/main">
                  <a:graphicData uri="http://schemas.microsoft.com/office/word/2010/wordprocessingShape">
                    <wps:wsp>
                      <wps:cNvSpPr/>
                      <wps:spPr bwMode="auto">
                        <a:xfrm>
                          <a:off x="541800" y="1205640"/>
                          <a:ext cx="6508440" cy="823917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86" name="Rectangle 10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87" name="Rectangle 10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88" name="Rectangle 10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89" name="Rectangle 10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90" name="Rectangle 10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92" name="Rectangle 10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93" name="Rectangle 10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4" name="Rectangle 10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95" name="Rectangle 10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2616"/>
                <wp:effectExtent l="0" t="0" r="0" b="0"/>
                <wp:wrapNone/>
                <wp:docPr id="1096" name="Rectangle 1096"/>
                <wp:cNvGraphicFramePr/>
                <a:graphic xmlns:a="http://schemas.openxmlformats.org/drawingml/2006/main">
                  <a:graphicData uri="http://schemas.microsoft.com/office/word/2010/wordprocessingShape">
                    <wps:wsp>
                      <wps:cNvSpPr/>
                      <wps:spPr bwMode="auto">
                        <a:xfrm>
                          <a:off x="541800" y="1205640"/>
                          <a:ext cx="6508440" cy="83926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97" name="Rectangle 10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98" name="Rectangle 10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99" name="Rectangle 10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00" name="Rectangle 11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01" name="Rectangle 11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03" name="Rectangle 11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4" name="Rectangle 11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05" name="Rectangle 11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06" name="Rectangle 11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164"/>
                <wp:effectExtent l="0" t="0" r="0" b="0"/>
                <wp:wrapNone/>
                <wp:docPr id="1107" name="Rectangle 1107"/>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08" name="Rectangle 11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09" name="Rectangle 11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10" name="Rectangle 11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11" name="Rectangle 11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12" name="Rectangle 11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14" name="Rectangle 11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15" name="Rectangle 11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16" name="Rectangle 11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17" name="Rectangle 11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23924"/>
                <wp:effectExtent l="0" t="0" r="0" b="0"/>
                <wp:wrapNone/>
                <wp:docPr id="1118" name="Rectangle 1118"/>
                <wp:cNvGraphicFramePr/>
                <a:graphic xmlns:a="http://schemas.openxmlformats.org/drawingml/2006/main">
                  <a:graphicData uri="http://schemas.microsoft.com/office/word/2010/wordprocessingShape">
                    <wps:wsp>
                      <wps:cNvSpPr/>
                      <wps:spPr bwMode="auto">
                        <a:xfrm>
                          <a:off x="541800" y="1205640"/>
                          <a:ext cx="6508440" cy="802392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19" name="Rectangle 11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20" name="Rectangle 11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21" name="Rectangle 11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22" name="Rectangle 11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3" name="Rectangle 11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25" name="Rectangle 11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26" name="Rectangle 11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27" name="Rectangle 11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28" name="Rectangle 11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1129" name="Rectangle 1129"/>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30" name="Rectangle 11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1" name="Rectangle 11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32" name="Rectangle 11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GARDENIA CANDLE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33" name="Rectangle 11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34" name="Rectangle 11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36" name="Rectangle 11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37" name="Rectangle 11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38" name="Rectangle 11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39" name="Rectangle 11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F32091C-9C45-4F57-8906-5431EAFB36C3}"/>
</file>

<file path=customXml/itemProps2.xml><?xml version="1.0" encoding="utf-8"?>
<ds:datastoreItem xmlns:ds="http://schemas.openxmlformats.org/officeDocument/2006/customXml" ds:itemID="{DFD2CD32-E6B1-4FF0-A1C2-50455C3987ED}"/>
</file>

<file path=customXml/itemProps3.xml><?xml version="1.0" encoding="utf-8"?>
<ds:datastoreItem xmlns:ds="http://schemas.openxmlformats.org/officeDocument/2006/customXml" ds:itemID="{ACAEA1EC-56FB-4859-9AF2-14CACE8FE24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