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245a32b410fe4740"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78798"/>
                <wp:effectExtent l="0" t="0" r="0" b="0"/>
                <wp:wrapNone/>
                <wp:docPr id="1780" name="Rectangle 1780"/>
                <wp:cNvGraphicFramePr/>
                <a:graphic xmlns:a="http://schemas.openxmlformats.org/drawingml/2006/main">
                  <a:graphicData uri="http://schemas.microsoft.com/office/word/2010/wordprocessingShape">
                    <wps:wsp>
                      <wps:cNvSpPr/>
                      <wps:spPr bwMode="auto">
                        <a:xfrm>
                          <a:off x="541800" y="1205640"/>
                          <a:ext cx="6508440" cy="837879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568"/>
                              <w:gridCol w:w="1474"/>
                              <w:gridCol w:w="1134"/>
                              <w:gridCol w:w="4480"/>
                            </w:tblGrid>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 Identification of the substance/mixture and of the company/undertaking</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Product identifier</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Trade name/designation</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CUT GRASS CANDLE 1425971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name</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Product-type</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Mixture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Relevant identified uses of the substance or mixture and uses advised against</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Relevant identified uses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Details of the supplier of the safety data sheet</w:t>
                                  </w:r>
                                </w:p>
                              </w:tc>
                            </w:tr>
                            <w:tr>
                              <w:trPr>
                                <w:trHeight w:val="91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Telephone : 03 89 22 77 65</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Emergency telephone number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 +33 (0)3 89 22 77 65 ( from monday to wenesday - from 10am to 12am and from 2pm to 5pm )</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2: Hazards identification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of the substance or mixture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according to Regulation (EC) No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Label elements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Labelling according to Regulation (EC) No.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Signal word</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statements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Precautionary statements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medical advice is needed, have product container or label at hand.</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Keep out of reach of children.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Read label before use.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EUH-phrases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130"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Contains methyl non-2-ynoate (methyl octine carbonate) (111-80-8) | linalyl acetate (115-95-7) | linalool (78-70-6) | d-limonene (r)-p-mentha-1,8-diene (5989-27-5) | nerol (106-25-2) | α-hexylcinnamaldehyde (101-86-0) | citronellol (106-22-9) | 2,4-dimethylcyclohex-3-ene-1-carbaldehyde (68039-49-6) . May produce an allergic reaction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Other hazards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PBT-substance.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vPvB-substance.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3: Composition / information on ingredients</w:t>
                                  </w:r>
                                </w:p>
                              </w:tc>
                            </w:tr>
                          </w:tbl>
                          <w:tbl>
                            <w:tblPr>
                              <w:tblLayout w:type="fixed"/>
                              <w:tblInd w:w="0" w:type="dxa"/>
                              <w:tblCellMar>
                                <w:left w:w="0" w:type="dxa"/>
                                <w:right w:w="0" w:type="dxa"/>
                              </w:tblCellMar>
                            </w:tblPr>
                            <w:tblGrid>
                              <w:gridCol w:w="2268"/>
                              <w:gridCol w:w="2268"/>
                              <w:gridCol w:w="1078"/>
                              <w:gridCol w:w="2268"/>
                              <w:gridCol w:w="2268"/>
                            </w:tblGrid>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Mixtures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Chemical name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Specific concentration limit</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2,4-dimethylcyclohex-3-ene-1- carbaldehyde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68039-49-6</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268-264-1</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nerol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106-25-2</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203-378-7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0,272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Dam. 1 - H318</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α-hexylcinnamaldehyde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101-86-0</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202-983-3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 / 1</w:t>
                                  </w:r>
                                </w:p>
                              </w:tc>
                            </w:tr>
                            <w:tr>
                              <w:trPr>
                                <w:trHeight w:val="106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d-limonene (r)-p-mentha-1,8-diene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5989-27-5</w:t>
                                  </w:r>
                                </w:p>
                                <w:p>
                                  <w:pPr>
                                    <w:spacing w:before="0" w:after="0" w:line="180" w:lineRule="exact"/>
                                    <w:jc w:val="left"/>
                                  </w:pPr>
                                  <w:r>
                                    <w:rPr>
                                      <w:rFonts w:ascii="Arial" w:hAnsi="Arial" w:cs="Arial"/>
                                      <w:b w:val="false"/>
                                      <w:i w:val="false"/>
                                      <w:strike w:val="false"/>
                                      <w:color w:val="000000"/>
                                      <w:spacing w:val="0"/>
                                      <w:sz w:val="16"/>
                                      <w:u w:val="none"/>
                                    </w:rPr>
                                    <w:t xml:space="preserve">Index No. : 601-029-00-7</w:t>
                                  </w:r>
                                </w:p>
                                <w:p>
                                  <w:pPr>
                                    <w:spacing w:before="0" w:after="0" w:line="180" w:lineRule="exact"/>
                                    <w:jc w:val="left"/>
                                  </w:pPr>
                                  <w:r>
                                    <w:rPr>
                                      <w:rFonts w:ascii="Arial" w:hAnsi="Arial" w:cs="Arial"/>
                                      <w:b w:val="false"/>
                                      <w:i w:val="false"/>
                                      <w:strike w:val="false"/>
                                      <w:color w:val="000000"/>
                                      <w:spacing w:val="0"/>
                                      <w:sz w:val="16"/>
                                      <w:u w:val="none"/>
                                    </w:rPr>
                                    <w:t xml:space="preserve">EC No. : 227-813-5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0,196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linalool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78-70-6</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201-134-4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0,196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linalyl acetate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115-95-7</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204-116-4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0,183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citronellol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106-22-9</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203-375-0</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0,156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methyl non-2-enoate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111-79-5</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203-908-7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 / 1</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4: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of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fresh air.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After contact with skin, wash immediately with plenty of water and soap.</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skin reactions, consult a physician.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immediately carefully and thoroughly with eye-bath or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eye irritation consult an ophthalmologist.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mouth thoroughly with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induce vomiting.</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Most important symptoms and effects, both acute and delayed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skin irritation.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eye irritation.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of any immediate medical attention and special treatment needed</w:t>
                                  </w:r>
                                </w:p>
                              </w:tc>
                            </w:tr>
                          </w:tbl>
                          <w:tbl>
                            <w:tblPr>
                              <w:tblLayout w:type="fixed"/>
                              <w:tblInd w:w="0" w:type="dxa"/>
                              <w:tblCellMar>
                                <w:left w:w="0" w:type="dxa"/>
                                <w:right w:w="0" w:type="dxa"/>
                              </w:tblCellMar>
                            </w:tblPr>
                            <w:tblGrid>
                              <w:gridCol w:w="4536"/>
                              <w:gridCol w:w="5614"/>
                            </w:tblGrid>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5: Firefighting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Extinguishing media</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ABC-powder</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Carbon dioxide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Foam</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Extinguishing powder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Full water jet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Special hazards arising from the substance or mixture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hazards arising from the substance or  mixture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Hazardous decomposition products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Advice for firefighters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Co-ordinate fire-fighting measures to the fire surroundings.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6: Accidental release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Personal precautions, protective equipment and emergency procedures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non-emergency personnel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emergency responders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Environmental precautions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allow to enter into surface water or drains.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Methods and material for containment and cleaning up</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containment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Treat the recovered material as prescribed in the section on waste disposal.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cleaning up</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Take up mechanically.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Inappropriate techniques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Reference to other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Personal protection equipment: see section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Disposal: see section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7: Handling and storage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Precautions for safe handling</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Recommendation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Eye contact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Skin contact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Advices on general occupational hygiene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for safe storage, including any incompatibilities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 against:Heat</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Specific end use(s)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8: Exposure controls/personal protection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Control parameters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Exposure controls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Appropriate engineering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Individual protection measures, such as personal protective equipment</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get in eyes, on skin, or on clothing.</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Environmental exposure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release to the environment.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empty into drains.</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9: Physical and chemical properties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 on basic physical and chemical properties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Physical state</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Appearance</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Colour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White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Odour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characteristic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Odour threshold</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Melting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Freezing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Boiling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Flash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Evaporation rate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flammability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Lower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Upper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pressure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Relative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(Water)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(Acetone)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(Organic solvents)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Auto-ignition temperature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Decomposition temperature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bl>
                          <w:tbl>
                            <w:tblPr>
                              <w:tblLayout w:type="fixed"/>
                              <w:tblInd w:w="0" w:type="dxa"/>
                              <w:tblCellMar>
                                <w:left w:w="0" w:type="dxa"/>
                                <w:right w:w="0" w:type="dxa"/>
                              </w:tblCellMar>
                            </w:tblPr>
                            <w:tblGrid>
                              <w:gridCol w:w="2836"/>
                              <w:gridCol w:w="2268"/>
                              <w:gridCol w:w="2268"/>
                              <w:gridCol w:w="2778"/>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Kinematic viscosity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Dynamic viscosity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Particle characteristics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Particle size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Other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VOC content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Minimum ignition energy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10: Stability and reactivity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Reactivity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This material is considered to be non-reactive under normal use conditions.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Chemical stability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Possibility of hazardous reactions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hazardous reaction when handled and stored according to provisions.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to avoid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Incompatible materials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Hazardous decomposition products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Does not decompose when used for intended uses.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11: Toxicological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 on toxicological effects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Acute toxicity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Based on available data, the classification criteria are not met.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Skin corrosion/irritation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skin.</w:t>
                                  </w:r>
                                </w:p>
                              </w:tc>
                            </w:tr>
                          </w:tbl>
                          <w:tbl>
                            <w:tblPr>
                              <w:tblLayout w:type="fixed"/>
                              <w:tblInd w:w="0" w:type="dxa"/>
                              <w:tblCellMar>
                                <w:left w:w="0" w:type="dxa"/>
                                <w:right w:w="0" w:type="dxa"/>
                              </w:tblCellMar>
                            </w:tblPr>
                            <w:tblGrid>
                              <w:gridCol w:w="2836"/>
                              <w:gridCol w:w="2268"/>
                              <w:gridCol w:w="5046"/>
                            </w:tblGrid>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Serious eye damage/eye  irritation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eyes.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Respiratory or skin  sensitisation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sensitization by skin contact.</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an allergic skin reaction.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Germ cell mutagenicity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Carcinogenicity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Reproductive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STOT-single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STOT-repeated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Aspiration hazard</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 on other hazards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12: Ecological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Very toxic to aquatic life with long lasting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Persistence and degradability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Biochemical oxygen demand (BOD)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oyxgen demand (COD)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of biodegradation in 28 days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Bioaccumulative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Bioconcentration factor (BCF)</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indication of bioaccumulation potential.</w:t>
                                  </w:r>
                                </w:p>
                              </w:tc>
                            </w:tr>
                          </w:tbl>
                          <w:tbl>
                            <w:tblPr>
                              <w:tblLayout w:type="fixed"/>
                              <w:tblInd w:w="0" w:type="dxa"/>
                              <w:tblCellMar>
                                <w:left w:w="0" w:type="dxa"/>
                                <w:right w:w="0" w:type="dxa"/>
                              </w:tblCellMar>
                            </w:tblPr>
                            <w:tblGrid>
                              <w:gridCol w:w="2836"/>
                              <w:gridCol w:w="1702"/>
                              <w:gridCol w:w="5614"/>
                            </w:tblGrid>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Mobility in soil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Results of PBT and vPvB assessment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Endocrine disrupting properties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Other adverse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13: Disposal considerations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Waste treatment methods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Waste treatment methods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Dispose of waste according to applicable legislation.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Sewage disposal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precautions for waste treatment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Community or national or regional provisions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14: Transport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UN number</w:t>
                                  </w: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UN proper shipping name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Transport hazard class(es)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Packing group</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Environmental hazards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Special precautions for user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in bulk according to Annex II of MARPOL 73/78 and the IBC Code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applicable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15: Regulatory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Safety, health and environmental regulations/legislation specific for the substance or mixture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VOC content</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bl>
                          <w:tbl>
                            <w:tblPr>
                              <w:tblLayout w:type="fixed"/>
                              <w:tblInd w:w="0" w:type="dxa"/>
                              <w:tblCellMar>
                                <w:left w:w="0" w:type="dxa"/>
                                <w:right w:w="0" w:type="dxa"/>
                              </w:tblCellMar>
                            </w:tblPr>
                            <w:tblGrid>
                              <w:gridCol w:w="964"/>
                              <w:gridCol w:w="738"/>
                              <w:gridCol w:w="510"/>
                              <w:gridCol w:w="1190"/>
                              <w:gridCol w:w="1078"/>
                              <w:gridCol w:w="5670"/>
                            </w:tblGrid>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Perfumes: 5% or more but less than 15%</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Chemical Safety Assessment</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Chemical safety assessment carried  out for the product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16: Other information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SDS versions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Issue date</w:t>
                                  </w:r>
                                </w:p>
                              </w:tc>
                              <w:tc>
                                <w:tcPr>
                                  <w:tcW w:w="2264"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Author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of the amendments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20/03/2021</w:t>
                                  </w:r>
                                </w:p>
                              </w:tc>
                              <w:tc>
                                <w:tcPr>
                                  <w:tcW w:w="2264"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Texts of the regulatory sentences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Aspiration hazard - Category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Dam. 1</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Serious eye damage, Category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irritation -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 Liq. 3</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Flammable liquid and vapour. - Category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1B</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The information in this sheet is based on the state of our knowledge relating to the product concerned, on the date indicated. The purpose of this Safety Data Sheet is to provide information to the user, to enable him to assess the risks to safety and health during transport, storage or use of the product at the place of job. The attention of users is further drawn to the possible risks incurred when a product is used for purposes other than that for which it is designed.</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Computer generated document, valid without signature.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781" name="Rectangle 178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782" name="Rectangle 178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783" name="Rectangle 178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CUT GRASS CANDLE 1425971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784" name="Rectangle 178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785" name="Rectangle 178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78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787" name="Rectangle 178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788" name="Rectangle 178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789" name="Rectangle 178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790" name="Rectangle 179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57336"/>
                <wp:effectExtent l="0" t="0" r="0" b="0"/>
                <wp:wrapNone/>
                <wp:docPr id="1791" name="Rectangle 1791"/>
                <wp:cNvGraphicFramePr/>
                <a:graphic xmlns:a="http://schemas.openxmlformats.org/drawingml/2006/main">
                  <a:graphicData uri="http://schemas.microsoft.com/office/word/2010/wordprocessingShape">
                    <wps:wsp>
                      <wps:cNvSpPr/>
                      <wps:spPr bwMode="auto">
                        <a:xfrm>
                          <a:off x="541800" y="1205640"/>
                          <a:ext cx="6508440" cy="8457336"/>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792" name="Rectangle 179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793" name="Rectangle 179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794" name="Rectangle 179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CUT GRASS CANDLE 1425971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795" name="Rectangle 179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796" name="Rectangle 179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79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798" name="Rectangle 179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799" name="Rectangle 179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800" name="Rectangle 180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801" name="Rectangle 180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18440"/>
                <wp:effectExtent l="0" t="0" r="0" b="0"/>
                <wp:wrapNone/>
                <wp:docPr id="1802" name="Rectangle 1802"/>
                <wp:cNvGraphicFramePr/>
                <a:graphic xmlns:a="http://schemas.openxmlformats.org/drawingml/2006/main">
                  <a:graphicData uri="http://schemas.microsoft.com/office/word/2010/wordprocessingShape">
                    <wps:wsp>
                      <wps:cNvSpPr/>
                      <wps:spPr bwMode="auto">
                        <a:xfrm>
                          <a:off x="541800" y="1205640"/>
                          <a:ext cx="6508440" cy="8318440"/>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803" name="Rectangle 180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804" name="Rectangle 180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805" name="Rectangle 180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CUT GRASS CANDLE 1425971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806" name="Rectangle 180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807" name="Rectangle 180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80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809" name="Rectangle 180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810" name="Rectangle 181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811" name="Rectangle 181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812" name="Rectangle 181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88980"/>
                <wp:effectExtent l="0" t="0" r="0" b="0"/>
                <wp:wrapNone/>
                <wp:docPr id="1813" name="Rectangle 1813"/>
                <wp:cNvGraphicFramePr/>
                <a:graphic xmlns:a="http://schemas.openxmlformats.org/drawingml/2006/main">
                  <a:graphicData uri="http://schemas.microsoft.com/office/word/2010/wordprocessingShape">
                    <wps:wsp>
                      <wps:cNvSpPr/>
                      <wps:spPr bwMode="auto">
                        <a:xfrm>
                          <a:off x="541800" y="1205640"/>
                          <a:ext cx="6508440" cy="8388980"/>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814" name="Rectangle 181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815" name="Rectangle 181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816" name="Rectangle 181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CUT GRASS CANDLE 1425971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817" name="Rectangle 181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818" name="Rectangle 181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81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820" name="Rectangle 182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821" name="Rectangle 182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822" name="Rectangle 182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823" name="Rectangle 182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31156"/>
                <wp:effectExtent l="0" t="0" r="0" b="0"/>
                <wp:wrapNone/>
                <wp:docPr id="1824" name="Rectangle 1824"/>
                <wp:cNvGraphicFramePr/>
                <a:graphic xmlns:a="http://schemas.openxmlformats.org/drawingml/2006/main">
                  <a:graphicData uri="http://schemas.microsoft.com/office/word/2010/wordprocessingShape">
                    <wps:wsp>
                      <wps:cNvSpPr/>
                      <wps:spPr bwMode="auto">
                        <a:xfrm>
                          <a:off x="541800" y="1205640"/>
                          <a:ext cx="6508440" cy="8431156"/>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825" name="Rectangle 182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826" name="Rectangle 182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827" name="Rectangle 182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CUT GRASS CANDLE 1425971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828" name="Rectangle 182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829" name="Rectangle 182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83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831" name="Rectangle 183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832" name="Rectangle 183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833" name="Rectangle 183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834" name="Rectangle 183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01716"/>
                <wp:effectExtent l="0" t="0" r="0" b="0"/>
                <wp:wrapNone/>
                <wp:docPr id="1835" name="Rectangle 1835"/>
                <wp:cNvGraphicFramePr/>
                <a:graphic xmlns:a="http://schemas.openxmlformats.org/drawingml/2006/main">
                  <a:graphicData uri="http://schemas.microsoft.com/office/word/2010/wordprocessingShape">
                    <wps:wsp>
                      <wps:cNvSpPr/>
                      <wps:spPr bwMode="auto">
                        <a:xfrm>
                          <a:off x="541800" y="1205640"/>
                          <a:ext cx="6508440" cy="8301716"/>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836" name="Rectangle 183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837" name="Rectangle 183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838" name="Rectangle 183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CUT GRASS CANDLE 1425971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839" name="Rectangle 183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840" name="Rectangle 184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84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842" name="Rectangle 184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843" name="Rectangle 184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844" name="Rectangle 184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845" name="Rectangle 184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09340"/>
                <wp:effectExtent l="0" t="0" r="0" b="0"/>
                <wp:wrapNone/>
                <wp:docPr id="1846" name="Rectangle 1846"/>
                <wp:cNvGraphicFramePr/>
                <a:graphic xmlns:a="http://schemas.openxmlformats.org/drawingml/2006/main">
                  <a:graphicData uri="http://schemas.microsoft.com/office/word/2010/wordprocessingShape">
                    <wps:wsp>
                      <wps:cNvSpPr/>
                      <wps:spPr bwMode="auto">
                        <a:xfrm>
                          <a:off x="541800" y="1205640"/>
                          <a:ext cx="6508440" cy="8409340"/>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847" name="Rectangle 184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848" name="Rectangle 184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849" name="Rectangle 184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CUT GRASS CANDLE 1425971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850" name="Rectangle 185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851" name="Rectangle 185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85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853" name="Rectangle 185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854" name="Rectangle 185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855" name="Rectangle 185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856" name="Rectangle 185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5920136"/>
                <wp:effectExtent l="0" t="0" r="0" b="0"/>
                <wp:wrapNone/>
                <wp:docPr id="1857" name="Rectangle 1857"/>
                <wp:cNvGraphicFramePr/>
                <a:graphic xmlns:a="http://schemas.openxmlformats.org/drawingml/2006/main">
                  <a:graphicData uri="http://schemas.microsoft.com/office/word/2010/wordprocessingShape">
                    <wps:wsp>
                      <wps:cNvSpPr/>
                      <wps:spPr bwMode="auto">
                        <a:xfrm>
                          <a:off x="541800" y="1205640"/>
                          <a:ext cx="6508440" cy="5920136"/>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858" name="Rectangle 185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859" name="Rectangle 185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860" name="Rectangle 186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CUT GRASS CANDLE 1425971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861" name="Rectangle 186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862" name="Rectangle 186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86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864" name="Rectangle 186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865" name="Rectangle 186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866" name="Rectangle 186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867" name="Rectangle 186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26DF6DEF-CC1F-4154-9F73-21D9368BA34D}"/>
</file>

<file path=customXml/itemProps2.xml><?xml version="1.0" encoding="utf-8"?>
<ds:datastoreItem xmlns:ds="http://schemas.openxmlformats.org/officeDocument/2006/customXml" ds:itemID="{6A3F7DB7-D7A1-4A7F-B769-28E5292B36EF}"/>
</file>

<file path=customXml/itemProps3.xml><?xml version="1.0" encoding="utf-8"?>
<ds:datastoreItem xmlns:ds="http://schemas.openxmlformats.org/officeDocument/2006/customXml" ds:itemID="{69F16A46-3B39-4FFF-8B3F-C0FD7C013F52}"/>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