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a8f92a10f14b43dc"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66062"/>
                <wp:effectExtent l="0" t="0" r="0" b="0"/>
                <wp:wrapNone/>
                <wp:docPr id="326" name="Rectangle 326"/>
                <wp:cNvGraphicFramePr/>
                <a:graphic xmlns:a="http://schemas.openxmlformats.org/drawingml/2006/main">
                  <a:graphicData uri="http://schemas.microsoft.com/office/word/2010/wordprocessingShape">
                    <wps:wsp>
                      <wps:cNvSpPr/>
                      <wps:spPr bwMode="auto">
                        <a:xfrm>
                          <a:off x="541800" y="1205640"/>
                          <a:ext cx="6508440" cy="8466062"/>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 Identification of the substance/mixture and of the company/undertaking</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Product identifier</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Trade name/designation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COCO MILK CANDLE 1811227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name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Product-type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Relevant identified uses of the substance or mixture and uses advised against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Relevant identified uses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Details of the supplier of the safety data sheet</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Telephone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Emergency telephone number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 +33 (0)3 89 22 77 65 ( from monday to wenesday - from 10am to 12am and from 2pm to 5pm )</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2: Hazards identification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of the substance or mixture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Label elements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Labelling according to Regulation (EC) No.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Signal word</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Precautionary statements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If medical advice is needed, have product container or label at hand.</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Keep out of reach of children.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Read label before use.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EUH-phrases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Contains gamma-dodecalactone (2305-05-7) | coumarin (91-64-5) . May produce an allergic reaction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Other hazards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PBT-substance.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vPvB-substance.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3: Composition / information on ingredients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bl>
                          <w:tbl>
                            <w:tblPr>
                              <w:tblLayout w:type="fixed"/>
                              <w:tblInd w:w="0" w:type="dxa"/>
                              <w:tblCellMar>
                                <w:left w:w="0" w:type="dxa"/>
                                <w:right w:w="0" w:type="dxa"/>
                              </w:tblCellMar>
                            </w:tblPr>
                            <w:tblGrid>
                              <w:gridCol w:w="2268"/>
                              <w:gridCol w:w="2268"/>
                              <w:gridCol w:w="1078"/>
                              <w:gridCol w:w="2268"/>
                              <w:gridCol w:w="2268"/>
                            </w:tblGrid>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Mixtures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Chemical name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Specific concentration limit</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gamma-dodecalactone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2305-05-7</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218-971-6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0,286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Not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coumarin</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CAS No. : 91-64-5</w:t>
                                  </w:r>
                                </w:p>
                                <w:p>
                                  <w:pPr>
                                    <w:spacing w:before="0" w:after="0" w:line="180" w:lineRule="exact"/>
                                    <w:jc w:val="left"/>
                                  </w:pPr>
                                  <w:r>
                                    <w:rPr>
                                      <w:rFonts w:ascii="Arial" w:hAnsi="Arial" w:cs="Arial"/>
                                      <w:b w:val="false"/>
                                      <w:i w:val="false"/>
                                      <w:strike w:val="false"/>
                                      <w:color w:val="000000"/>
                                      <w:spacing w:val="0"/>
                                      <w:sz w:val="16"/>
                                      <w:u w:val="none"/>
                                    </w:rPr>
                                    <w:t xml:space="preserve">Index No. :</w:t>
                                  </w:r>
                                </w:p>
                                <w:p>
                                  <w:pPr>
                                    <w:spacing w:before="0" w:after="0" w:line="180" w:lineRule="exact"/>
                                    <w:jc w:val="left"/>
                                  </w:pPr>
                                  <w:r>
                                    <w:rPr>
                                      <w:rFonts w:ascii="Arial" w:hAnsi="Arial" w:cs="Arial"/>
                                      <w:b w:val="false"/>
                                      <w:i w:val="false"/>
                                      <w:strike w:val="false"/>
                                      <w:color w:val="000000"/>
                                      <w:spacing w:val="0"/>
                                      <w:sz w:val="16"/>
                                      <w:u w:val="none"/>
                                    </w:rPr>
                                    <w:t xml:space="preserve">EC No. : 202-086-7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0,143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M-factor: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4: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of first aid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fresh air.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After contact with skin, wash immediately with plenty of water and soap.</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skin reactions, consult a physician.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immediately carefully and thoroughly with eye-bath or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In case of eye irritation consult an ophthalmologist.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Rinse mouth thoroughly with water.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induce vomiting.</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Most important symptoms and effects, both acute and delayed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Following skin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skin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eye contact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Causes eye irritation.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Symptoms and effects - After 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of any immediate medical attention and special treatment needed</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5: Firefighting measures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Extinguishing media</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ABC-powder</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Carbon dioxide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Foam</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Extinguishing powder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Unsuitable extinguishing media</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Full water jet</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Special hazards arising from the substance or mixture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hazards arising from the substance or  mixture</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Hazardous decomposition products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bl>
                          <w:tbl>
                            <w:tblPr>
                              <w:tblLayout w:type="fixed"/>
                              <w:tblInd w:w="0" w:type="dxa"/>
                              <w:tblCellMar>
                                <w:left w:w="0" w:type="dxa"/>
                                <w:right w:w="0" w:type="dxa"/>
                              </w:tblCellMar>
                            </w:tblPr>
                            <w:tblGrid>
                              <w:gridCol w:w="4536"/>
                              <w:gridCol w:w="3686"/>
                              <w:gridCol w:w="1928"/>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Advice for firefighters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Co-ordinate fire-fighting measures to the fire surroundings.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6: Accidental release measures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Personal precautions, protective equipment and emergency procedures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non-emergency personnel</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For emergency responders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Environmental precautions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allow to enter into surface water or drains.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Methods and material for containment and cleaning up</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containment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Treat the recovered material as prescribed in the section on waste disposal.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Methods and material for cleaning up</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Take up mechanically.</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Inappropriate techniques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Reference to other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Personal protection equipment: see section 8</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Disposal: see section 13</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7: Handling and storage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Precautions for safe handling</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Recommendation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Eye contact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Skin contact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Advices on general occupational hygiene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for safe storage, including any incompatibilities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 against:Heat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Specific end use(s)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Scented candle intended for the general public</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8: Exposure controls/personal protection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Control parameters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Exposure controls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Appropriate engineering controls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Provide adequate ventilation.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Individual protection measures, such as personal protective equipment</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get in eyes, on skin, or on clothing.</w:t>
                                  </w:r>
                                </w:p>
                              </w:tc>
                            </w:tr>
                          </w:tbl>
                          <w:tbl>
                            <w:tblPr>
                              <w:tblLayout w:type="fixed"/>
                              <w:tblInd w:w="0" w:type="dxa"/>
                              <w:tblCellMar>
                                <w:left w:w="0" w:type="dxa"/>
                                <w:right w:w="0" w:type="dxa"/>
                              </w:tblCellMar>
                            </w:tblPr>
                            <w:tblGrid>
                              <w:gridCol w:w="2552"/>
                              <w:gridCol w:w="1984"/>
                              <w:gridCol w:w="568"/>
                              <w:gridCol w:w="2552"/>
                              <w:gridCol w:w="2494"/>
                            </w:tblGrid>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Environmental exposure controls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Avoid release to the environment.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 not empty into drains.</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9: Physical and chemical properties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 on basic physical and chemical properties</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Physical state</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Appearance</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Colour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White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Odour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characteristic</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Odour threshold</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Melting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Freezing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Boiling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Flash point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Evaporation rate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flammability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Lower explosion limit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Upper explosion limit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pressure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Vapour 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Relative 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(Water)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(Acetone)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Solubility (Organic solvents)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Auto-ignition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Decomposition temperature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Kinematic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Dynamic viscosity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Particle characteristics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Particle size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Other information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VOC content</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Minimum ignition energy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Conductivity</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10: Stability and reactivity</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Reactivity</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This material is considered to be non-reactive under normal use conditions.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Chemical stability</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The product is stable under storage at normal ambient temperatures.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Possibility of hazardous reactions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hazardous reaction when handled and stored according to provisions.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to avoid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Incompatible materials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Hazardous decomposition products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Does not decompose when used for intended uses.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11: Toxicological information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 on toxicological effects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Acute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Based on available data, the classification criteria are not met.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Skin corrosion/irritation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skin.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Serious eye damage/eye  irritation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Irritating to eyes.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Respiratory or skin  sensitisation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sensitization by skin contact.</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May cause an allergic skin reaction.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Germ cell mutagenicity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Carcinogenicity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Reproductive toxicity</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STOT-single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STOT-repeated exposure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Aspiration hazard</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classified</w:t>
                                  </w:r>
                                </w:p>
                              </w:tc>
                            </w:tr>
                          </w:tbl>
                          <w:tbl>
                            <w:tblPr>
                              <w:tblLayout w:type="fixed"/>
                              <w:tblInd w:w="0" w:type="dxa"/>
                              <w:tblCellMar>
                                <w:left w:w="0" w:type="dxa"/>
                                <w:right w:w="0" w:type="dxa"/>
                              </w:tblCellMar>
                            </w:tblPr>
                            <w:tblGrid>
                              <w:gridCol w:w="5104"/>
                              <w:gridCol w:w="5046"/>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 on other hazards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12: Ecological information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Toxicity : Mixture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Very toxic to aquatic life with long lasting effects.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Persistence and degradability</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Biochemical oxygen demand (BOD)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Chemical oyxgen demand (COD)</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of biodegradation in 28 days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Bioaccumulative potential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Bioconcentration factor (BCF)</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indication of bioaccumulation potential.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Mobility in soil</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Results of PBT and vPvB assessment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Endocrine disrupting properties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Other adverse effects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13: Disposal considerations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Waste treatment methods</w:t>
                                  </w:r>
                                </w:p>
                              </w:tc>
                            </w:tr>
                          </w:tbl>
                          <w:tbl>
                            <w:tblPr>
                              <w:tblLayout w:type="fixed"/>
                              <w:tblInd w:w="0" w:type="dxa"/>
                              <w:tblCellMar>
                                <w:left w:w="0" w:type="dxa"/>
                                <w:right w:w="0" w:type="dxa"/>
                              </w:tblCellMar>
                            </w:tblPr>
                            <w:tblGrid>
                              <w:gridCol w:w="964"/>
                              <w:gridCol w:w="738"/>
                              <w:gridCol w:w="510"/>
                              <w:gridCol w:w="624"/>
                              <w:gridCol w:w="568"/>
                              <w:gridCol w:w="1078"/>
                              <w:gridCol w:w="100"/>
                              <w:gridCol w:w="5614"/>
                            </w:tblGrid>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Waste treatment methods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Dispose of waste according to applicable legislation.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Sewage disposal</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Special precautions for waste treatment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Community or national or regional provisions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14: Transport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UN number</w:t>
                                  </w: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Not applicable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UN proper shipping name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Transport hazard class(es)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Packing group</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Environmental hazards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Special precautions for user</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in bulk according to Annex II of MARPOL 73/78 and the IBC Code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Not applicable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15: Regulatory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Safety, health and environmental regulations/legislation specific for the substance or mixture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VOC content</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 data available</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Perfumes: 5% or more but less than 15%</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Chemical Safety Assessment</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Chemical safety assessment carried  out for the product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 information available.</w:t>
                                  </w:r>
                                </w:p>
                              </w:tc>
                            </w:tr>
                            <w:tr>
                              <w:trPr>
                                <w:trHeight w:val="284"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8"/>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SECTION 16: Other information</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SDS versions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Issue date</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Author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of the amendments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22/03/2021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Texts of the regulatory sentences</w:t>
                                  </w:r>
                                </w:p>
                              </w:tc>
                            </w:tr>
                            <w:tr>
                              <w:trPr>
                                <w:trHeight w:val="113" w:hRule="exact"/>
                              </w:trPr>
                              <w:tc>
                                <w:tcPr>
                                  <w:tcW w:w="-4" w:type="dxa"/>
                                  <w:gridSpan w:val="8"/>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toxicity (oral) - Category 4</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Hazardous to the aquatic environment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6"/>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r>
                          </w:tbl>
                          <w:tbl>
                            <w:tblPr>
                              <w:tblLayout w:type="fixed"/>
                              <w:tblInd w:w="0" w:type="dxa"/>
                              <w:tblCellMar>
                                <w:left w:w="0" w:type="dxa"/>
                                <w:right w:w="0" w:type="dxa"/>
                              </w:tblCellMar>
                            </w:tblPr>
                            <w:tblGrid>
                              <w:gridCol w:w="1702"/>
                              <w:gridCol w:w="8448"/>
                            </w:tblGrid>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sensitization - Category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Computer generated document, valid without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27" name="Rectangle 32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28" name="Rectangle 32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29" name="Rectangle 32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COCO MILK CANDLE 1811227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30" name="Rectangle 33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31" name="Rectangle 33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3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33" name="Rectangle 33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34" name="Rectangle 33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35" name="Rectangle 33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36" name="Rectangle 33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6972"/>
                <wp:effectExtent l="0" t="0" r="0" b="0"/>
                <wp:wrapNone/>
                <wp:docPr id="337" name="Rectangle 337"/>
                <wp:cNvGraphicFramePr/>
                <a:graphic xmlns:a="http://schemas.openxmlformats.org/drawingml/2006/main">
                  <a:graphicData uri="http://schemas.microsoft.com/office/word/2010/wordprocessingShape">
                    <wps:wsp>
                      <wps:cNvSpPr/>
                      <wps:spPr bwMode="auto">
                        <a:xfrm>
                          <a:off x="541800" y="1205640"/>
                          <a:ext cx="6508440" cy="845697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38" name="Rectangle 33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39" name="Rectangle 33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40" name="Rectangle 34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COCO MILK CANDLE 1811227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41" name="Rectangle 34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42" name="Rectangle 34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4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44" name="Rectangle 34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45" name="Rectangle 34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46" name="Rectangle 34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47" name="Rectangle 34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85344"/>
                <wp:effectExtent l="0" t="0" r="0" b="0"/>
                <wp:wrapNone/>
                <wp:docPr id="348" name="Rectangle 348"/>
                <wp:cNvGraphicFramePr/>
                <a:graphic xmlns:a="http://schemas.openxmlformats.org/drawingml/2006/main">
                  <a:graphicData uri="http://schemas.microsoft.com/office/word/2010/wordprocessingShape">
                    <wps:wsp>
                      <wps:cNvSpPr/>
                      <wps:spPr bwMode="auto">
                        <a:xfrm>
                          <a:off x="541800" y="1205640"/>
                          <a:ext cx="6508440" cy="838534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49" name="Rectangle 34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50" name="Rectangle 35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51" name="Rectangle 35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COCO MILK CANDLE 1811227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52" name="Rectangle 35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53" name="Rectangle 35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5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55" name="Rectangle 35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56" name="Rectangle 35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57" name="Rectangle 35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58" name="Rectangle 35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3708"/>
                <wp:effectExtent l="0" t="0" r="0" b="0"/>
                <wp:wrapNone/>
                <wp:docPr id="359" name="Rectangle 359"/>
                <wp:cNvGraphicFramePr/>
                <a:graphic xmlns:a="http://schemas.openxmlformats.org/drawingml/2006/main">
                  <a:graphicData uri="http://schemas.microsoft.com/office/word/2010/wordprocessingShape">
                    <wps:wsp>
                      <wps:cNvSpPr/>
                      <wps:spPr bwMode="auto">
                        <a:xfrm>
                          <a:off x="541800" y="1205640"/>
                          <a:ext cx="6508440" cy="837370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60" name="Rectangle 36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61" name="Rectangle 36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62" name="Rectangle 36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COCO MILK CANDLE 1811227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63" name="Rectangle 36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64" name="Rectangle 36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6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66" name="Rectangle 36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67" name="Rectangle 36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68" name="Rectangle 36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69" name="Rectangle 36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25340"/>
                <wp:effectExtent l="0" t="0" r="0" b="0"/>
                <wp:wrapNone/>
                <wp:docPr id="370" name="Rectangle 370"/>
                <wp:cNvGraphicFramePr/>
                <a:graphic xmlns:a="http://schemas.openxmlformats.org/drawingml/2006/main">
                  <a:graphicData uri="http://schemas.microsoft.com/office/word/2010/wordprocessingShape">
                    <wps:wsp>
                      <wps:cNvSpPr/>
                      <wps:spPr bwMode="auto">
                        <a:xfrm>
                          <a:off x="541800" y="1205640"/>
                          <a:ext cx="6508440" cy="842534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71" name="Rectangle 37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72" name="Rectangle 37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73" name="Rectangle 37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COCO MILK CANDLE 1811227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74" name="Rectangle 37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75" name="Rectangle 37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7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77" name="Rectangle 37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78" name="Rectangle 37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79" name="Rectangle 37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80" name="Rectangle 38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0988"/>
                <wp:effectExtent l="0" t="0" r="0" b="0"/>
                <wp:wrapNone/>
                <wp:docPr id="381" name="Rectangle 381"/>
                <wp:cNvGraphicFramePr/>
                <a:graphic xmlns:a="http://schemas.openxmlformats.org/drawingml/2006/main">
                  <a:graphicData uri="http://schemas.microsoft.com/office/word/2010/wordprocessingShape">
                    <wps:wsp>
                      <wps:cNvSpPr/>
                      <wps:spPr bwMode="auto">
                        <a:xfrm>
                          <a:off x="541800" y="1205640"/>
                          <a:ext cx="6508440" cy="8300988"/>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82" name="Rectangle 38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83" name="Rectangle 38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84" name="Rectangle 38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COCO MILK CANDLE 1811227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85" name="Rectangle 38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86" name="Rectangle 38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8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88" name="Rectangle 38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89" name="Rectangle 38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90" name="Rectangle 39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91" name="Rectangle 39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1518"/>
                <wp:effectExtent l="0" t="0" r="0" b="0"/>
                <wp:wrapNone/>
                <wp:docPr id="392" name="Rectangle 392"/>
                <wp:cNvGraphicFramePr/>
                <a:graphic xmlns:a="http://schemas.openxmlformats.org/drawingml/2006/main">
                  <a:graphicData uri="http://schemas.microsoft.com/office/word/2010/wordprocessingShape">
                    <wps:wsp>
                      <wps:cNvSpPr/>
                      <wps:spPr bwMode="auto">
                        <a:xfrm>
                          <a:off x="541800" y="1205640"/>
                          <a:ext cx="6508440" cy="845151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393" name="Rectangle 39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394" name="Rectangle 39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395" name="Rectangle 39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COCO MILK CANDLE 1811227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396" name="Rectangle 39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397" name="Rectangle 39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9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399" name="Rectangle 39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00" name="Rectangle 40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01" name="Rectangle 40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02" name="Rectangle 40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1828908"/>
                <wp:effectExtent l="0" t="0" r="0" b="0"/>
                <wp:wrapNone/>
                <wp:docPr id="403" name="Rectangle 403"/>
                <wp:cNvGraphicFramePr/>
                <a:graphic xmlns:a="http://schemas.openxmlformats.org/drawingml/2006/main">
                  <a:graphicData uri="http://schemas.microsoft.com/office/word/2010/wordprocessingShape">
                    <wps:wsp>
                      <wps:cNvSpPr/>
                      <wps:spPr bwMode="auto">
                        <a:xfrm>
                          <a:off x="541800" y="1205640"/>
                          <a:ext cx="6508440" cy="182890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404" name="Rectangle 40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405" name="Rectangle 40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22/03/2021 -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406" name="Rectangle 40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COCO MILK CANDLE 1811227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407" name="Rectangle 40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408" name="Rectangle 40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0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410" name="Rectangle 41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411" name="Rectangle 41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Issue date : 22.03.2021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412" name="Rectangle 41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413" name="Rectangle 41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Safety Data Sheet</w:t>
                            </w:r>
                          </w:p>
                          <w:p>
                            <w:pPr>
                              <w:spacing w:before="0" w:after="0" w:line="180" w:lineRule="exact"/>
                              <w:jc w:val="left"/>
                            </w:pPr>
                            <w:r>
                              <w:rPr>
                                <w:rFonts w:ascii="Arial" w:hAnsi="Arial" w:cs="Arial"/>
                                <w:b w:val="false"/>
                                <w:i w:val="false"/>
                                <w:strike w:val="false"/>
                                <w:color w:val="000000"/>
                                <w:spacing w:val="0"/>
                                <w:sz w:val="16"/>
                                <w:u w:val="none"/>
                              </w:rPr>
                              <w:t xml:space="preserve">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AE17831D-74E9-44A2-8589-AB6027036DA4}"/>
</file>

<file path=customXml/itemProps2.xml><?xml version="1.0" encoding="utf-8"?>
<ds:datastoreItem xmlns:ds="http://schemas.openxmlformats.org/officeDocument/2006/customXml" ds:itemID="{A21CC35C-3DB4-47E8-9049-40483C5A77A4}"/>
</file>

<file path=customXml/itemProps3.xml><?xml version="1.0" encoding="utf-8"?>
<ds:datastoreItem xmlns:ds="http://schemas.openxmlformats.org/officeDocument/2006/customXml" ds:itemID="{3BD2AFC7-9809-4103-A142-3B483C0E2BD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