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4b673ac36cb4451b"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44640"/>
                <wp:effectExtent l="0" t="0" r="0" b="0"/>
                <wp:wrapNone/>
                <wp:docPr id="7835" name="Rectangle 7835"/>
                <wp:cNvGraphicFramePr/>
                <a:graphic xmlns:a="http://schemas.openxmlformats.org/drawingml/2006/main">
                  <a:graphicData uri="http://schemas.microsoft.com/office/word/2010/wordprocessingShape">
                    <wps:wsp>
                      <wps:cNvSpPr/>
                      <wps:spPr bwMode="auto">
                        <a:xfrm>
                          <a:off x="541800" y="1205640"/>
                          <a:ext cx="6508440" cy="814464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ETERNAL OUD CANDLE 2104748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78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P391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Collect spillage.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2268"/>
                              <w:gridCol w:w="226"/>
                              <w:gridCol w:w="2042"/>
                              <w:gridCol w:w="1078"/>
                              <w:gridCol w:w="2268"/>
                              <w:gridCol w:w="2268"/>
                            </w:tblGrid>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Cyperus scariosus (cypriol) (91771-62-9) | cinnamaldehyde (104-55-2) | 1-(1,2,3,4,5,6,7,8-octahydro-2,3,8,8-tetramethyl-2- naphthalenyl)ethanone (54464-57-2) | linalyl acetate (115-95-7) | d-limonene (r)-p-mentha-1,8-diene (5989-27-5) | 4-tert-butylcyclohexyl acetate (32210-23-4) | α-hexylcinnamaldehyde (101-86-0) | (ethoxymethoxy)cyclododecane (boisambrene forte) (58567-11-6) | methyl cedryl ether (19870-74-7) . May produce an allergic reaction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19870-74-7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0,774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101-86-0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0,658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54464-57-2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32210-23-4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5989-27-5</w:t>
                                  </w:r>
                                </w:p>
                                <w:p>
                                  <w:pPr>
                                    <w:spacing w:before="0" w:after="0" w:line="180" w:lineRule="exact"/>
                                    <w:jc w:val="left"/>
                                  </w:pPr>
                                  <w:r>
                                    <w:rPr>
                                      <w:rFonts w:ascii="Arial" w:hAnsi="Arial" w:cs="Arial"/>
                                      <w:b w:val="false"/>
                                      <w:i w:val="false"/>
                                      <w:strike w:val="false"/>
                                      <w:color w:val="000000"/>
                                      <w:spacing w:val="0"/>
                                      <w:sz w:val="16"/>
                                      <w:u w:val="none"/>
                                    </w:rPr>
                                    <w:t xml:space="preserve">Index No. : 601-029-00-7</w:t>
                                  </w:r>
                                </w:p>
                                <w:p>
                                  <w:pPr>
                                    <w:spacing w:before="0" w:after="0" w:line="180" w:lineRule="exact"/>
                                    <w:jc w:val="left"/>
                                  </w:pPr>
                                  <w:r>
                                    <w:rPr>
                                      <w:rFonts w:ascii="Arial" w:hAnsi="Arial" w:cs="Arial"/>
                                      <w:b w:val="false"/>
                                      <w:i w:val="false"/>
                                      <w:strike w:val="false"/>
                                      <w:color w:val="000000"/>
                                      <w:spacing w:val="0"/>
                                      <w:sz w:val="16"/>
                                      <w:u w:val="none"/>
                                    </w:rPr>
                                    <w:t xml:space="preserve">EC No.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0,448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1222-05-5</w:t>
                                  </w:r>
                                </w:p>
                                <w:p>
                                  <w:pPr>
                                    <w:spacing w:before="0" w:after="0" w:line="180" w:lineRule="exact"/>
                                    <w:jc w:val="left"/>
                                  </w:pPr>
                                  <w:r>
                                    <w:rPr>
                                      <w:rFonts w:ascii="Arial" w:hAnsi="Arial" w:cs="Arial"/>
                                      <w:b w:val="false"/>
                                      <w:i w:val="false"/>
                                      <w:strike w:val="false"/>
                                      <w:color w:val="000000"/>
                                      <w:spacing w:val="0"/>
                                      <w:sz w:val="16"/>
                                      <w:u w:val="none"/>
                                    </w:rPr>
                                    <w:t xml:space="preserve">Index No. : 603-212-00-7</w:t>
                                  </w:r>
                                </w:p>
                                <w:p>
                                  <w:pPr>
                                    <w:spacing w:before="0" w:after="0" w:line="180" w:lineRule="exact"/>
                                    <w:jc w:val="left"/>
                                  </w:pPr>
                                  <w:r>
                                    <w:rPr>
                                      <w:rFonts w:ascii="Arial" w:hAnsi="Arial" w:cs="Arial"/>
                                      <w:b w:val="false"/>
                                      <w:i w:val="false"/>
                                      <w:strike w:val="false"/>
                                      <w:color w:val="000000"/>
                                      <w:spacing w:val="0"/>
                                      <w:sz w:val="16"/>
                                      <w:u w:val="none"/>
                                    </w:rPr>
                                    <w:t xml:space="preserve">EC No.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rPr>
                                      <w:spacing w:val="-20"/>
                                    </w:rPr>
                                  </w:pPr>
                                  <w:r>
                                    <w:rPr>
                                      <w:rFonts w:ascii="Arial" w:hAnsi="Arial" w:cs="Arial"/>
                                      <w:b w:val="false"/>
                                      <w:i w:val="false"/>
                                      <w:strike w:val="false"/>
                                      <w:color w:val="000000"/>
                                      <w:spacing w:val="-4"/>
                                      <w:sz w:val="16"/>
                                      <w:u w:val="none"/>
                                    </w:rPr>
                                    <w:t xml:space="preserve">(ethoxymethoxy)cyclododecane</w:t>
                                  </w:r>
                                </w:p>
                                <w:p>
                                  <w:pPr>
                                    <w:spacing w:before="0" w:after="0" w:line="180" w:lineRule="exact"/>
                                    <w:jc w:val="left"/>
                                  </w:pPr>
                                  <w:r>
                                    <w:rPr>
                                      <w:rFonts w:ascii="Arial" w:hAnsi="Arial" w:cs="Arial"/>
                                      <w:b w:val="false"/>
                                      <w:i w:val="false"/>
                                      <w:strike w:val="false"/>
                                      <w:color w:val="000000"/>
                                      <w:spacing w:val="0"/>
                                      <w:sz w:val="16"/>
                                      <w:u w:val="none"/>
                                    </w:rPr>
                                    <w:t xml:space="preserve">(boisambrene forte)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58567-11-6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261-332-1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0,323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Cyperus scariosus (cypriol)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91771-62-9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294-955-2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0,039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bl>
                          <w:tbl>
                            <w:tblPr>
                              <w:tblLayout w:type="fixed"/>
                              <w:tblInd w:w="0" w:type="dxa"/>
                              <w:tblCellMar>
                                <w:left w:w="0" w:type="dxa"/>
                                <w:right w:w="0" w:type="dxa"/>
                              </w:tblCellMar>
                            </w:tblPr>
                            <w:tblGrid>
                              <w:gridCol w:w="2836"/>
                              <w:gridCol w:w="2268"/>
                              <w:gridCol w:w="2268"/>
                              <w:gridCol w:w="2778"/>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510"/>
                              <w:gridCol w:w="1190"/>
                              <w:gridCol w:w="568"/>
                              <w:gridCol w:w="5046"/>
                            </w:tblGrid>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bl>
                          <w:tbl>
                            <w:tblPr>
                              <w:tblLayout w:type="fixed"/>
                              <w:tblInd w:w="0" w:type="dxa"/>
                              <w:tblCellMar>
                                <w:left w:w="0" w:type="dxa"/>
                                <w:right w:w="0" w:type="dxa"/>
                              </w:tblCellMar>
                            </w:tblPr>
                            <w:tblGrid>
                              <w:gridCol w:w="2836"/>
                              <w:gridCol w:w="510"/>
                              <w:gridCol w:w="100"/>
                              <w:gridCol w:w="2212"/>
                              <w:gridCol w:w="1134"/>
                              <w:gridCol w:w="1134"/>
                              <w:gridCol w:w="1134"/>
                              <w:gridCol w:w="1134"/>
                            </w:tblGrid>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Transport hazard  class(es)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Classification code: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79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3">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Transport hazard class(es)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79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Transport hazard class(es)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79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hazards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Yes.</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Marine pollutant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bl>
                          <w:tbl>
                            <w:tblPr>
                              <w:tblLayout w:type="fixed"/>
                              <w:tblInd w:w="0" w:type="dxa"/>
                              <w:tblCellMar>
                                <w:left w:w="0" w:type="dxa"/>
                                <w:right w:w="0" w:type="dxa"/>
                              </w:tblCellMar>
                            </w:tblPr>
                            <w:tblGrid>
                              <w:gridCol w:w="5670"/>
                              <w:gridCol w:w="568"/>
                              <w:gridCol w:w="3912"/>
                            </w:tblGrid>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ADR</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Classification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274+335+375+601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Limited quantity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P002 IBC08 LP02 R001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PP12 B3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Mixed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MP10</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TP33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tank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SGAV LGBV</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tanks 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Vehicle for tank carriage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Transport category</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Tunnel restriction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provisions loading, unloading and handling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CV13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Packages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V13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Bulk</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VC1 VC2</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Operation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Hazard identification number (Kemler No.)</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90</w:t>
                                  </w:r>
                                </w:p>
                              </w:tc>
                            </w:tr>
                            <w:tr>
                              <w:trPr>
                                <w:trHeight w:val="170"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IMDG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335, 966, 274, 967, 969</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Limited quantity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IBC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IBC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EmS codes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 S-F</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Stowage and handling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Segregation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Properties and observations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70"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IATA</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Limited Quantity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Limited Quantity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ERG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37" name="Rectangle 78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38" name="Rectangle 78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39" name="Rectangle 78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40" name="Rectangle 784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41" name="Rectangle 784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43" name="Rectangle 784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44" name="Rectangle 78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45" name="Rectangle 78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46" name="Rectangle 78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5174"/>
                <wp:effectExtent l="0" t="0" r="0" b="0"/>
                <wp:wrapNone/>
                <wp:docPr id="7847" name="Rectangle 7847"/>
                <wp:cNvGraphicFramePr/>
                <a:graphic xmlns:a="http://schemas.openxmlformats.org/drawingml/2006/main">
                  <a:graphicData uri="http://schemas.microsoft.com/office/word/2010/wordprocessingShape">
                    <wps:wsp>
                      <wps:cNvSpPr/>
                      <wps:spPr bwMode="auto">
                        <a:xfrm>
                          <a:off x="541800" y="1205640"/>
                          <a:ext cx="6508440" cy="825517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48" name="Rectangle 78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49" name="Rectangle 78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50" name="Rectangle 78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51" name="Rectangle 785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52" name="Rectangle 785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54" name="Rectangle 785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55" name="Rectangle 78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56" name="Rectangle 78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57" name="Rectangle 78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4604"/>
                <wp:effectExtent l="0" t="0" r="0" b="0"/>
                <wp:wrapNone/>
                <wp:docPr id="7858" name="Rectangle 7858"/>
                <wp:cNvGraphicFramePr/>
                <a:graphic xmlns:a="http://schemas.openxmlformats.org/drawingml/2006/main">
                  <a:graphicData uri="http://schemas.microsoft.com/office/word/2010/wordprocessingShape">
                    <wps:wsp>
                      <wps:cNvSpPr/>
                      <wps:spPr bwMode="auto">
                        <a:xfrm>
                          <a:off x="541800" y="1205640"/>
                          <a:ext cx="6508440" cy="850460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59" name="Rectangle 78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60" name="Rectangle 78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61" name="Rectangle 78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62" name="Rectangle 786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63" name="Rectangle 786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65" name="Rectangle 786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66" name="Rectangle 78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67" name="Rectangle 78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68" name="Rectangle 78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064"/>
                <wp:effectExtent l="0" t="0" r="0" b="0"/>
                <wp:wrapNone/>
                <wp:docPr id="7869" name="Rectangle 7869"/>
                <wp:cNvGraphicFramePr/>
                <a:graphic xmlns:a="http://schemas.openxmlformats.org/drawingml/2006/main">
                  <a:graphicData uri="http://schemas.microsoft.com/office/word/2010/wordprocessingShape">
                    <wps:wsp>
                      <wps:cNvSpPr/>
                      <wps:spPr bwMode="auto">
                        <a:xfrm>
                          <a:off x="541800" y="1205640"/>
                          <a:ext cx="6508440" cy="84500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70" name="Rectangle 78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71" name="Rectangle 78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72" name="Rectangle 78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73" name="Rectangle 787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74" name="Rectangle 787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76" name="Rectangle 787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77" name="Rectangle 78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78" name="Rectangle 78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79" name="Rectangle 78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39176"/>
                <wp:effectExtent l="0" t="0" r="0" b="0"/>
                <wp:wrapNone/>
                <wp:docPr id="7880" name="Rectangle 7880"/>
                <wp:cNvGraphicFramePr/>
                <a:graphic xmlns:a="http://schemas.openxmlformats.org/drawingml/2006/main">
                  <a:graphicData uri="http://schemas.microsoft.com/office/word/2010/wordprocessingShape">
                    <wps:wsp>
                      <wps:cNvSpPr/>
                      <wps:spPr bwMode="auto">
                        <a:xfrm>
                          <a:off x="541800" y="1205640"/>
                          <a:ext cx="6508440" cy="823917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81" name="Rectangle 78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82" name="Rectangle 78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83" name="Rectangle 78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84" name="Rectangle 788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85" name="Rectangle 788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87" name="Rectangle 788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88" name="Rectangle 78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89" name="Rectangle 78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90" name="Rectangle 78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2616"/>
                <wp:effectExtent l="0" t="0" r="0" b="0"/>
                <wp:wrapNone/>
                <wp:docPr id="7891" name="Rectangle 7891"/>
                <wp:cNvGraphicFramePr/>
                <a:graphic xmlns:a="http://schemas.openxmlformats.org/drawingml/2006/main">
                  <a:graphicData uri="http://schemas.microsoft.com/office/word/2010/wordprocessingShape">
                    <wps:wsp>
                      <wps:cNvSpPr/>
                      <wps:spPr bwMode="auto">
                        <a:xfrm>
                          <a:off x="541800" y="1205640"/>
                          <a:ext cx="6508440" cy="839261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92" name="Rectangle 78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93" name="Rectangle 78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94" name="Rectangle 78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95" name="Rectangle 78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96" name="Rectangle 78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98" name="Rectangle 78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99" name="Rectangle 78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00" name="Rectangle 79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01" name="Rectangle 79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4990"/>
                <wp:effectExtent l="0" t="0" r="0" b="0"/>
                <wp:wrapNone/>
                <wp:docPr id="7902" name="Rectangle 7902"/>
                <wp:cNvGraphicFramePr/>
                <a:graphic xmlns:a="http://schemas.openxmlformats.org/drawingml/2006/main">
                  <a:graphicData uri="http://schemas.microsoft.com/office/word/2010/wordprocessingShape">
                    <wps:wsp>
                      <wps:cNvSpPr/>
                      <wps:spPr bwMode="auto">
                        <a:xfrm>
                          <a:off x="541800" y="1205640"/>
                          <a:ext cx="6508440" cy="828499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03" name="Rectangle 79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04" name="Rectangle 79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05" name="Rectangle 79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06" name="Rectangle 79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07" name="Rectangle 79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09" name="Rectangle 79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10" name="Rectangle 79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11" name="Rectangle 79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12" name="Rectangle 79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074202"/>
                <wp:effectExtent l="0" t="0" r="0" b="0"/>
                <wp:wrapNone/>
                <wp:docPr id="7913" name="Rectangle 7913"/>
                <wp:cNvGraphicFramePr/>
                <a:graphic xmlns:a="http://schemas.openxmlformats.org/drawingml/2006/main">
                  <a:graphicData uri="http://schemas.microsoft.com/office/word/2010/wordprocessingShape">
                    <wps:wsp>
                      <wps:cNvSpPr/>
                      <wps:spPr bwMode="auto">
                        <a:xfrm>
                          <a:off x="541800" y="1205640"/>
                          <a:ext cx="6508440" cy="707420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17" name="Rectangle 79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18" name="Rectangle 79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19" name="Rectangle 79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20" name="Rectangle 79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21" name="Rectangle 79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23" name="Rectangle 79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24" name="Rectangle 79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25" name="Rectangle 79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26" name="Rectangle 79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4628"/>
                <wp:effectExtent l="0" t="0" r="0" b="0"/>
                <wp:wrapNone/>
                <wp:docPr id="7927" name="Rectangle 7927"/>
                <wp:cNvGraphicFramePr/>
                <a:graphic xmlns:a="http://schemas.openxmlformats.org/drawingml/2006/main">
                  <a:graphicData uri="http://schemas.microsoft.com/office/word/2010/wordprocessingShape">
                    <wps:wsp>
                      <wps:cNvSpPr/>
                      <wps:spPr bwMode="auto">
                        <a:xfrm>
                          <a:off x="541800" y="1205640"/>
                          <a:ext cx="6508440" cy="826462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28" name="Rectangle 79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29" name="Rectangle 79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30" name="Rectangle 79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31" name="Rectangle 79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32" name="Rectangle 79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34" name="Rectangle 79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35" name="Rectangle 79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36" name="Rectangle 79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37" name="Rectangle 79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5712"/>
                <wp:effectExtent l="0" t="0" r="0" b="0"/>
                <wp:wrapNone/>
                <wp:docPr id="7938" name="Rectangle 7938"/>
                <wp:cNvGraphicFramePr/>
                <a:graphic xmlns:a="http://schemas.openxmlformats.org/drawingml/2006/main">
                  <a:graphicData uri="http://schemas.microsoft.com/office/word/2010/wordprocessingShape">
                    <wps:wsp>
                      <wps:cNvSpPr/>
                      <wps:spPr bwMode="auto">
                        <a:xfrm>
                          <a:off x="541800" y="1205640"/>
                          <a:ext cx="6508440" cy="8325712"/>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39" name="Rectangle 79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10/10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40" name="Rectangle 79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41" name="Rectangle 79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ETERNAL OUD CANDLE 2104748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42" name="Rectangle 79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43" name="Rectangle 79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45" name="Rectangle 79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46" name="Rectangle 79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47" name="Rectangle 79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48" name="Rectangle 79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image" Target="/media/image14.jpg"/><Relationship Id="rId5" Type="http://schemas.openxmlformats.org/officeDocument/2006/relationships/theme" Target="/word/theme/theme1.xml"/><Relationship Id="rId923" Type="http://schemas.openxmlformats.org/officeDocument/2006/relationships/image" Target="/media/image9.jpg"/><Relationship Id="rId931" Type="http://schemas.openxmlformats.org/officeDocument/2006/relationships/customXml" Target="../customXml/item3.xml"/><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image" Target="/media/image13.jpg"/><Relationship Id="rId4" Type="http://schemas.openxmlformats.org/officeDocument/2006/relationships/fontTable" Target="/word/fontTable.xml"/><Relationship Id="rId918" Type="http://schemas.openxmlformats.org/officeDocument/2006/relationships/image" Target="/media/image4.jpg"/><Relationship Id="rId930" Type="http://schemas.openxmlformats.org/officeDocument/2006/relationships/customXml" Target="../customXml/item2.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D4A1FBC7-CCC5-4DF6-93D4-33D81E43FC9D}"/>
</file>

<file path=customXml/itemProps2.xml><?xml version="1.0" encoding="utf-8"?>
<ds:datastoreItem xmlns:ds="http://schemas.openxmlformats.org/officeDocument/2006/customXml" ds:itemID="{3BBB762A-6187-4D90-9914-014253495995}"/>
</file>

<file path=customXml/itemProps3.xml><?xml version="1.0" encoding="utf-8"?>
<ds:datastoreItem xmlns:ds="http://schemas.openxmlformats.org/officeDocument/2006/customXml" ds:itemID="{5A9C933E-6B9C-4B20-B15F-97957D0E204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2833700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