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d19a5102ae4b4447"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3093" name="Rectangle 3093"/>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COLOGNE MIRACLE CANDLE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citral (5392-40-5) | linalyl acetate (115-95-7) | linalool (78-70-6) | d-limonene (r)-p-mentha-1,8-diene (5989-27-5)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0,597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0,493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5392-40-5</w:t>
                                  </w:r>
                                </w:p>
                                <w:p>
                                  <w:pPr>
                                    <w:spacing w:before="0" w:after="0" w:line="180" w:lineRule="exact"/>
                                    <w:jc w:val="left"/>
                                  </w:pPr>
                                  <w:r>
                                    <w:rPr>
                                      <w:rFonts w:ascii="Arial" w:hAnsi="Arial" w:cs="Arial"/>
                                      <w:b w:val="false"/>
                                      <w:i w:val="false"/>
                                      <w:strike w:val="false"/>
                                      <w:color w:val="000000"/>
                                      <w:spacing w:val="0"/>
                                      <w:sz w:val="16"/>
                                      <w:u w:val="none"/>
                                    </w:rPr>
                                    <w:t xml:space="preserve">Index No. : 605-019-00-3</w:t>
                                  </w:r>
                                </w:p>
                                <w:p>
                                  <w:pPr>
                                    <w:spacing w:before="0" w:after="0" w:line="180" w:lineRule="exact"/>
                                    <w:jc w:val="left"/>
                                  </w:pPr>
                                  <w:r>
                                    <w:rPr>
                                      <w:rFonts w:ascii="Arial" w:hAnsi="Arial" w:cs="Arial"/>
                                      <w:b w:val="false"/>
                                      <w:i w:val="false"/>
                                      <w:strike w:val="false"/>
                                      <w:color w:val="000000"/>
                                      <w:spacing w:val="0"/>
                                      <w:sz w:val="16"/>
                                      <w:u w:val="none"/>
                                    </w:rPr>
                                    <w:t xml:space="preserve">EC No.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0,081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special measures are necessary.</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Wash immediately with: Water</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When in doubt or if symptoms are observed, get medical advice.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Use personal protection equipment.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dust 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Wash with plenty of water.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special technical protective measures are necessary.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Suitable protective clothing: lab coat</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1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chemically stable under recommended conditions of storage, use and temperature.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1702"/>
                              <w:gridCol w:w="5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substance/mixture does not fullfill the criteria of the acute aquatic toxicity according to Regulation (EC) No 1272/2008 [CLP], Annex I.</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94" name="Rectangle 30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95" name="Rectangle 30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96" name="Rectangle 30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97" name="Rectangle 30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98" name="Rectangle 30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00" name="Rectangle 31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01" name="Rectangle 31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02" name="Rectangle 31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03" name="Rectangle 31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6976"/>
                <wp:effectExtent l="0" t="0" r="0" b="0"/>
                <wp:wrapNone/>
                <wp:docPr id="3104" name="Rectangle 3104"/>
                <wp:cNvGraphicFramePr/>
                <a:graphic xmlns:a="http://schemas.openxmlformats.org/drawingml/2006/main">
                  <a:graphicData uri="http://schemas.microsoft.com/office/word/2010/wordprocessingShape">
                    <wps:wsp>
                      <wps:cNvSpPr/>
                      <wps:spPr bwMode="auto">
                        <a:xfrm>
                          <a:off x="541800" y="1205640"/>
                          <a:ext cx="6508440" cy="841697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05" name="Rectangle 31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06" name="Rectangle 31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07" name="Rectangle 31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08" name="Rectangle 31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09" name="Rectangle 31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11" name="Rectangle 31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12" name="Rectangle 31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13" name="Rectangle 31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14" name="Rectangle 31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072"/>
                <wp:effectExtent l="0" t="0" r="0" b="0"/>
                <wp:wrapNone/>
                <wp:docPr id="3115" name="Rectangle 3115"/>
                <wp:cNvGraphicFramePr/>
                <a:graphic xmlns:a="http://schemas.openxmlformats.org/drawingml/2006/main">
                  <a:graphicData uri="http://schemas.microsoft.com/office/word/2010/wordprocessingShape">
                    <wps:wsp>
                      <wps:cNvSpPr/>
                      <wps:spPr bwMode="auto">
                        <a:xfrm>
                          <a:off x="541800" y="1205640"/>
                          <a:ext cx="6508440" cy="837007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16" name="Rectangle 31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17" name="Rectangle 31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18" name="Rectangle 31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19" name="Rectangle 31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20" name="Rectangle 31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22" name="Rectangle 31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23" name="Rectangle 31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24" name="Rectangle 31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25" name="Rectangle 31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3126" name="Rectangle 3126"/>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28" name="Rectangle 31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29" name="Rectangle 31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30" name="Rectangle 31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31" name="Rectangle 31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32" name="Rectangle 31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34" name="Rectangle 31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35" name="Rectangle 31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36" name="Rectangle 31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37" name="Rectangle 31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6806"/>
                <wp:effectExtent l="0" t="0" r="0" b="0"/>
                <wp:wrapNone/>
                <wp:docPr id="3138" name="Rectangle 3138"/>
                <wp:cNvGraphicFramePr/>
                <a:graphic xmlns:a="http://schemas.openxmlformats.org/drawingml/2006/main">
                  <a:graphicData uri="http://schemas.microsoft.com/office/word/2010/wordprocessingShape">
                    <wps:wsp>
                      <wps:cNvSpPr/>
                      <wps:spPr bwMode="auto">
                        <a:xfrm>
                          <a:off x="541800" y="1205640"/>
                          <a:ext cx="6508440" cy="830680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39" name="Rectangle 31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40" name="Rectangle 31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41" name="Rectangle 31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42" name="Rectangle 31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43" name="Rectangle 31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45" name="Rectangle 31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46" name="Rectangle 31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47" name="Rectangle 31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48" name="Rectangle 31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3149" name="Rectangle 3149"/>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50" name="Rectangle 31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51" name="Rectangle 31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52" name="Rectangle 31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53" name="Rectangle 31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54" name="Rectangle 31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56" name="Rectangle 31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57" name="Rectangle 31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58" name="Rectangle 31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59" name="Rectangle 31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5894"/>
                <wp:effectExtent l="0" t="0" r="0" b="0"/>
                <wp:wrapNone/>
                <wp:docPr id="3160" name="Rectangle 3160"/>
                <wp:cNvGraphicFramePr/>
                <a:graphic xmlns:a="http://schemas.openxmlformats.org/drawingml/2006/main">
                  <a:graphicData uri="http://schemas.microsoft.com/office/word/2010/wordprocessingShape">
                    <wps:wsp>
                      <wps:cNvSpPr/>
                      <wps:spPr bwMode="auto">
                        <a:xfrm>
                          <a:off x="541800" y="1205640"/>
                          <a:ext cx="6508440" cy="833589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61" name="Rectangle 31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62" name="Rectangle 31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63" name="Rectangle 31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64" name="Rectangle 31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65" name="Rectangle 31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67" name="Rectangle 31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68" name="Rectangle 31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69" name="Rectangle 31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70" name="Rectangle 31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208506"/>
                <wp:effectExtent l="0" t="0" r="0" b="0"/>
                <wp:wrapNone/>
                <wp:docPr id="3171" name="Rectangle 3171"/>
                <wp:cNvGraphicFramePr/>
                <a:graphic xmlns:a="http://schemas.openxmlformats.org/drawingml/2006/main">
                  <a:graphicData uri="http://schemas.microsoft.com/office/word/2010/wordprocessingShape">
                    <wps:wsp>
                      <wps:cNvSpPr/>
                      <wps:spPr bwMode="auto">
                        <a:xfrm>
                          <a:off x="541800" y="1205640"/>
                          <a:ext cx="6508440" cy="220850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72" name="Rectangle 31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73" name="Rectangle 31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74" name="Rectangle 31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COLOGNE MIRACLE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75" name="Rectangle 31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76" name="Rectangle 31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78" name="Rectangle 31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79" name="Rectangle 31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80" name="Rectangle 31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81" name="Rectangle 31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876A91A-FE1A-4C99-906F-89C772A87E47}"/>
</file>

<file path=customXml/itemProps2.xml><?xml version="1.0" encoding="utf-8"?>
<ds:datastoreItem xmlns:ds="http://schemas.openxmlformats.org/officeDocument/2006/customXml" ds:itemID="{CEDCA873-4836-4150-99F1-F0EF01BB3EC9}"/>
</file>

<file path=customXml/itemProps3.xml><?xml version="1.0" encoding="utf-8"?>
<ds:datastoreItem xmlns:ds="http://schemas.openxmlformats.org/officeDocument/2006/customXml" ds:itemID="{D4150497-935C-4002-8D41-1BFAF91435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