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6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Ambre patchouli 10%.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>Ce mélange n' est pas classé comme dangereux.</w:t>
      </w:r>
      <w:r w:rsidR="00D34A62">
        <w:rPr>
          <w:noProof/>
          <w:lang w:val="en-US"/>
        </w:rPr>
        <w:t/>
      </w:r>
      <w:r w:rsidRPr="00D34A62" w:rsidR="00D34A62">
        <w:rPr>
          <w:rFonts w:cs="Times New Roman"/>
          <w:noProof/>
          <w:lang w:val="en-GB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1B13B9" w:rsidR="00704839" w:rsidP="00D371D5" w:rsidRDefault="00704839" w14:paraId="1DEF0F05" w14:textId="77777777">
      <w:pPr>
        <w:rPr>
          <w:noProof/>
          <w:lang w:val="en-US"/>
        </w:rPr>
      </w:pPr>
      <w:r w:rsidR="00D34A62">
        <w:rPr>
          <w:noProof/>
          <w:lang w:val="en-US"/>
        </w:rPr>
        <w:t>Ce produit ne contient pas de substances dangereuses à ou au-dessus des seuils réglementés.</w:t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doute ou si des symptômes sont observés,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Fournir de l'air frais.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équipement de protection individuelle.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S'assurer que les déchets soient collectés et contenus.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Traiter le matériau recueilli conformément à la section sur l'élimination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dans des conteneurs fermés et appropriés pour l'élimination.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Déterminé.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Boisée - Orientale-balsamique - Ambrée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dangereux selon les réglementations de transport applicables.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cette substance/mélange, une évaluation de la sécurité chimique n'est pas requise.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Ambre patchouli 10%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Ambre patchouli 10%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30/04/2024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9e7390f1edd202026e42bb9fc1d6ddb2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31bedb35d31a97e62a66217b4bc5801d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3E85E-611F-4CC1-BA33-96C57DEA0BBC}"/>
</file>

<file path=customXml/itemProps3.xml><?xml version="1.0" encoding="utf-8"?>
<ds:datastoreItem xmlns:ds="http://schemas.openxmlformats.org/officeDocument/2006/customXml" ds:itemID="{3225E38F-E54F-4B94-B497-8CF321C88EEC}"/>
</file>

<file path=customXml/itemProps4.xml><?xml version="1.0" encoding="utf-8"?>
<ds:datastoreItem xmlns:ds="http://schemas.openxmlformats.org/officeDocument/2006/customXml" ds:itemID="{8D13C4F2-F28D-483B-8036-39553676B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