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adoucissant 7%.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Amylase, gluco-.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le rejet dans l'environnement.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conformément à la réglementation locale.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[Ionone, methyl-, CAS: 1335-46-2, EC: 215-635-0]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1-(1,2,3,4,5,6,7,8-octahydro-2,3,8,8-tetramethyl-2-naphthyl)ethan-1-one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54464-57-2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0.3234%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259-174-3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4-tert-butylcyclohexyl acetate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32210-23-4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0.2695%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250-954-9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01-2119976286-24-XXXX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linalool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78-70-6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0.2695%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201-134-4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603-235-00-2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01-2119474016-42-XXXX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hexyl salicylate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6259-76-3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0.2695%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M(Chronic)=1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228-408-6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01-2119638275-36-XXXX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α-hexylcinnamaldehyde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101-86-0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0.1883%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202-983-3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3-methyl-4-(2,6,6-trimethyl-2-cyclohexen-1-yl)-3-buten-2-one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127-51-5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0.1770999999%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204-846-3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01-2120138569-45-XXXX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geraniol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106-24-1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0.1609999999%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H318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Dam.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203-377-1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603-241-00-5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01-2119552430-49-XXXX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Cyclopentanone, 2-[2-(4-methyl-3-cyclohexen-1-yl)propyl]-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95962-14-4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0.1344%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14047, 1307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allyl 3-cyclohexylpropionate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2705-87-5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0.1183%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M(Chronic)=1</w:t>
              <w:br/>
              <w:t xml:space="preserve">M=1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DERMAL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INHALATION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220-292-5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01-2119976355-27-XXXX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4-methyl-3-decen-5-ol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81782-77-6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0.1078%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M=1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279-815-0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01-2119983528-21-XXXX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2-methylundecanal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110-41-8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0.1078%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M=1</w:t>
              <w:br/>
              <w:t xml:space="preserve">M(Chronic)=1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203-765-0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01-2119969443-29-XXXX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3-(4-isobutyl-2-methylphenyl)propanal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1637294-12-2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0.1078%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INHALATION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811-285-3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citronellol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106-22-9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0.1078%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203-375-0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01-2119453995-23-XXXX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Ionone, methyl-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1335-46-2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0.0924%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215-635-0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01-2119471851-35-XXXX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équipement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Mettre les personnes en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une protection respiratoire appropriée.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S'assurer que les déchets soient collectés et contenus.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Éviter le rejet dans l’environnement.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Couvrir les canalisations.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Veiller à ce que toutes les eaux usées soient recueillies et traitées par une usine de traitement des eaux usées.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pénétrer dans le sol/sous-sol.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entrer dans les eaux de surface ou dans les égouts.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Contenir l'eau de lavage contaminée et l'éliminer.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fuite de gaz ou d'entrée dans les voies d'eau, le sol ou les égouts, informer les autorités responsables.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Traiter le matériau recueilli conformément à la section sur l'élimination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dans des conteneurs fermés et appropriés pour l'élimination.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Nettoyer soigneusement les zones et objets contaminés en respectant les réglementations environnementales.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Stocker à température ambiante et à l'écart de toute source de chaleur.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mesures techniques et l'utilisation de méthodes de travail adéquates sont prioritaires sur les équipements de protection individuelle.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Assurer une ventilation adéquate ainsi qu'une aspiration locale aux endroits critiques.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Protection des yeux et du visage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Protection oculaire appropriée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mesure spéciale n'est nécessaire.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Protection de la peau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Protection des mains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A129E5" w:rsidR="00495B03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657C5">
              <w:rPr>
                <w:b/>
                <w:noProof/>
                <w:color w:val="7F7F7F" w:themeColor="text1" w:themeTint="80"/>
                <w:lang w:val="en-US"/>
              </w:rPr>
              <w:t>Type de gants appropriés</w:t>
            </w:r>
            <w:r w:rsidR="00D34A62">
              <w:rPr>
                <w:b/>
                <w:noProof/>
                <w:color w:val="7F7F7F" w:themeColor="text1" w:themeTint="80"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mesure spéciale n'est nécessaire.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Protection du corps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A129E5" w:rsidR="00495B03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657C5">
              <w:rPr>
                <w:b/>
                <w:noProof/>
                <w:color w:val="7F7F7F" w:themeColor="text1" w:themeTint="80"/>
                <w:lang w:val="en-US"/>
              </w:rPr>
              <w:t>Vêtement de protection approprié</w:t>
            </w:r>
            <w:r w:rsidR="00D34A62">
              <w:rPr>
                <w:b/>
                <w:noProof/>
                <w:color w:val="7F7F7F" w:themeColor="text1" w:themeTint="80"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mesure spéciale n'est nécessaire.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Protection respiratoire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Appareil de protection respiratoire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="00950FA0" w:rsidP="00CE02BF" w:rsidRDefault="00950FA0" w14:paraId="2124E087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mesure spéciale n'est nécessaire.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Florale - Verte - Boisée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Soluble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Nocif pour les organismes aquatiques, entraîne des effets néfastes à long terme.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[Ionone, methyl-, CAS: 1335-46-2, EC: 215-635-0]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CLP: Harmonised classification and labelling of hazardous substances (Annex VI, table 3.1)_ATP 15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geraniol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106-24-1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203-377-1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linalool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78-70-6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201-134-4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α-hexylcinnamaldehyde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101-86-0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202-983-3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3-methyl-4-(2,6,6-trimethyl-2-cyclohexen-1-yl)-3-buten-2-one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127-51-5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204-846-3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geraniol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106-24-1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203-377-1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citronellol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106-22-9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203-375-0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DERMAL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contact avec la peau.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H318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Dam.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de graves lésions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H332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INHALATION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inhalation.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27/11/2023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30/04/2024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adoucissant 7%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adoucissant 7%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30/04/2024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DCDA9-1B45-49C3-871C-8AA2139F8446}"/>
</file>

<file path=customXml/itemProps3.xml><?xml version="1.0" encoding="utf-8"?>
<ds:datastoreItem xmlns:ds="http://schemas.openxmlformats.org/officeDocument/2006/customXml" ds:itemID="{2F9A0DD4-0385-4DF2-8451-067FEA29AB43}"/>
</file>

<file path=customXml/itemProps4.xml><?xml version="1.0" encoding="utf-8"?>
<ds:datastoreItem xmlns:ds="http://schemas.openxmlformats.org/officeDocument/2006/customXml" ds:itemID="{3695FD28-BC4F-4C25-94FC-2F4F063DF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