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jpg" ContentType="image/jpeg"/>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f43a811123c94a24"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90080"/>
                <wp:effectExtent l="0" t="0" r="0" b="0"/>
                <wp:wrapNone/>
                <wp:docPr id="1324" name="Rectangle 1324"/>
                <wp:cNvGraphicFramePr/>
                <a:graphic xmlns:a="http://schemas.openxmlformats.org/drawingml/2006/main">
                  <a:graphicData uri="http://schemas.microsoft.com/office/word/2010/wordprocessingShape">
                    <wps:wsp>
                      <wps:cNvSpPr/>
                      <wps:spPr bwMode="auto">
                        <a:xfrm>
                          <a:off x="541800" y="1205640"/>
                          <a:ext cx="6508440" cy="8290080"/>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284"/>
                              <w:gridCol w:w="1134"/>
                              <w:gridCol w:w="1134"/>
                              <w:gridCol w:w="100"/>
                              <w:gridCol w:w="1078"/>
                              <w:gridCol w:w="1134"/>
                              <w:gridCol w:w="1134"/>
                              <w:gridCol w:w="1134"/>
                            </w:tblGrid>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FLEUR DE FRANGIPANIER 2019557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11"/>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8"/>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1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7592" w:type="dxa"/>
                                  <w:gridSpan w:val="9"/>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1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3,7-dimethyloctan-3-ol (tetrahydrolinalool) (CAS No.: 78-69-3)</w:t>
                                  </w: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Attention</w:t>
                                  </w:r>
                                </w:p>
                              </w:tc>
                            </w:tr>
                            <w:tr>
                              <w:trPr>
                                <w:trHeight w:val="1361" w:hRule="exact"/>
                              </w:trPr>
                              <w:tc>
                                <w:tcPr>
                                  <w:tcW w:w="3340"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 des risques</w:t>
                                  </w:r>
                                </w:p>
                              </w:tc>
                              <w:tc>
                                <w:tcPr>
                                  <w:tcW w:w="113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tcPr>
                                <w:p>
                                  <w:pPr>
                                    <w:rPr>
                                      <w:lang w:val="en-US"/>
                                    </w:rPr>
                                  </w:pPr>
                                  <w:r>
                                    <w:rPr>
                                      <w:sz w:val="2"/>
                                    </w:rPr>
                                    <w:drawing>
                                      <wp:inline distT="0" distB="0" distL="0" distR="0" wp14:anchorId="62EC9BC3" wp14:editId="2A206D38">
                                        <wp:extent cx="648000" cy="864000"/>
                                        <wp:effectExtent l="0" t="0" r="0" b="0"/>
                                        <wp:docPr id="132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Textmetric.png"/>
                                                <pic:cNvPicPr/>
                                              </pic:nvPicPr>
                                              <pic:blipFill>
                                                <a:blip r:embed="rId915">
                                                  <a:extLst>
                                                    <a:ext uri="{28A0092B-C50C-407E-A947-70E740481C1C}">
                                                      <a14:useLocalDpi xmlns:a14="http://schemas.microsoft.com/office/drawing/2010/main" val="0"/>
                                                    </a:ext>
                                                  </a:extLst>
                                                </a:blip>
                                                <a:stretch>
                                                  <a:fillRect/>
                                                </a:stretch>
                                              </pic:blipFill>
                                              <pic:spPr>
                                                <a:xfrm>
                                                  <a:off x="0" y="0"/>
                                                  <a:ext cx="648000" cy="864000"/>
                                                </a:xfrm>
                                                <a:prstGeom prst="rect">
                                                  <a:avLst/>
                                                </a:prstGeom>
                                              </pic:spPr>
                                            </pic:pic>
                                          </a:graphicData>
                                        </a:graphic>
                                      </wp:inline>
                                    </w:drawing>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8"/>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1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P302+P352</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CONTACT AVEC LA PEAU: laver abondamment à l'eau et au savon.</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P333+P313</w:t>
                                  </w:r>
                                </w:p>
                              </w:tc>
                              <w:tc>
                                <w:tcPr>
                                  <w:tcW w:w="7650" w:type="dxa"/>
                                  <w:gridSpan w:val="10"/>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d'irritation ou d'éruption cutanée: consulter un médecin.</w:t>
                                  </w:r>
                                </w:p>
                              </w:tc>
                            </w:tr>
                          </w:tbl>
                          <w:tbl>
                            <w:tblPr>
                              <w:tblLayout w:type="fixed"/>
                              <w:tblInd w:w="0" w:type="dxa"/>
                              <w:tblCellMar>
                                <w:left w:w="0" w:type="dxa"/>
                                <w:right w:w="0" w:type="dxa"/>
                              </w:tblCellMar>
                            </w:tblPr>
                            <w:tblGrid>
                              <w:gridCol w:w="2268"/>
                              <w:gridCol w:w="226"/>
                              <w:gridCol w:w="568"/>
                              <w:gridCol w:w="1474"/>
                              <w:gridCol w:w="1078"/>
                              <w:gridCol w:w="2268"/>
                              <w:gridCol w:w="2268"/>
                            </w:tblGrid>
                            <w:tr>
                              <w:trPr>
                                <w:trHeight w:val="446"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P501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Éliminer le récipient dans une installation de recyclage ou d'élimination des déchets approuvée.</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35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56" w:type="dxa"/>
                                    <w:left w:w="56" w:type="dxa"/>
                                    <w:bottom w:w="56"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EUH208</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Contient geraniol (106-24-1) | citral (5392-40-5) | benzyl salicylate (118-58-1) | 7-hydroxycitronellal (107-75-5) | α-hexylcinnamaldehyde (101-86-0) | eugenol (97-53-0) | isopentyl salicylate (87-20-7) | cinnamyl alcohol (104-54-1) | 3-p-cumenyl-2-methylpropionaldehyde (cyclamen aldehyde) (103-95-7) | 3,7-dimethyloctan-3-ol (tetrahydrolinalool) (78-69-3) . Peut produire une réaction allergique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70"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Nom chimique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Classe(s)</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Concentration spécifiques</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3,7-dimethyloctan-3-ol (tetrahydrolinalool)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78-69-3</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201-133-9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phenylethyl alcohol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60-12-8</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200-456-2</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1,053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Acute Tox. 4 Oral - H302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isopentyl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87-20-7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201-730-4</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0,95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α-hexylcinnamaldehyde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101-86-0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202-983-3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2 - H411</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benzyl salicylate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118-58-1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204-262-9</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0,65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3-p-cumenyl-2-methylpropional dehyde (cyclamen aldehyde)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103-95-7</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203-161-7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0,3</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Chronic 3 - H412</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7-hydroxycitronellal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107-75-5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203-518-7</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0,25</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geraniol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106-24-1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203-377-1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0,246</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Dam. 1 - H318</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70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citral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5392-40-5</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 605-019-00-3</w:t>
                                  </w:r>
                                </w:p>
                                <w:p>
                                  <w:pPr>
                                    <w:spacing w:before="0" w:after="0" w:line="180" w:lineRule="exact"/>
                                    <w:jc w:val="left"/>
                                  </w:pPr>
                                  <w:r>
                                    <w:rPr>
                                      <w:rFonts w:ascii="Arial" w:hAnsi="Arial" w:cs="Arial"/>
                                      <w:b w:val="false"/>
                                      <w:i w:val="false"/>
                                      <w:strike w:val="false"/>
                                      <w:color w:val="000000"/>
                                      <w:spacing w:val="0"/>
                                      <w:sz w:val="16"/>
                                      <w:u w:val="none"/>
                                    </w:rPr>
                                    <w:t xml:space="preserve">N°CE : 226-394-6</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0,151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2-(p-Menth-1-ene-10-yl)cyclop entanone</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95962-14-4</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Aquatic Acute 1 - H400</w:t>
                                  </w:r>
                                </w:p>
                                <w:p>
                                  <w:pPr>
                                    <w:spacing w:before="0" w:after="0" w:line="180" w:lineRule="exact"/>
                                    <w:jc w:val="left"/>
                                  </w:pPr>
                                  <w:r>
                                    <w:rPr>
                                      <w:rFonts w:ascii="Arial" w:hAnsi="Arial" w:cs="Arial"/>
                                      <w:b w:val="false"/>
                                      <w:i w:val="false"/>
                                      <w:strike w:val="false"/>
                                      <w:color w:val="000000"/>
                                      <w:spacing w:val="0"/>
                                      <w:sz w:val="16"/>
                                      <w:u w:val="none"/>
                                    </w:rPr>
                                    <w:t xml:space="preserve">Aquatic Chronic 1 - H410</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Facteur M: 1 / 1</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cinnamyl alcohol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104-54-1</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203-212-3</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Skin Irrit. 2 - H315</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r>
                              <w:trPr>
                                <w:trHeight w:val="529" w:hRule="atLeast"/>
                              </w:trPr>
                              <w:tc>
                                <w:tcPr>
                                  <w:tcW w:w="2264" w:type="dxa"/>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eugenol</w:t>
                                  </w:r>
                                </w:p>
                              </w:tc>
                              <w:tc>
                                <w:tcPr>
                                  <w:tcW w:w="2264" w:type="dxa"/>
                                  <w:gridSpan w:val="3"/>
                                  <w:tcBorders>
                                    <w:top w:val="single" w:color="808080" w:sz="4"/>
                                    <w:left w:val="single" w:color="808080" w:sz="4"/>
                                    <w:bottom w:val="single" w:color="808080" w:sz="4"/>
                                    <w:right w:val="single" w:color="80808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n°CAS : 97-53-0</w:t>
                                  </w:r>
                                </w:p>
                                <w:p>
                                  <w:pPr>
                                    <w:spacing w:before="0" w:after="0" w:line="180" w:lineRule="exact"/>
                                    <w:jc w:val="left"/>
                                  </w:pPr>
                                  <w:r>
                                    <w:rPr>
                                      <w:rFonts w:ascii="Arial" w:hAnsi="Arial" w:cs="Arial"/>
                                      <w:b w:val="false"/>
                                      <w:i w:val="false"/>
                                      <w:strike w:val="false"/>
                                      <w:color w:val="000000"/>
                                      <w:spacing w:val="0"/>
                                      <w:sz w:val="16"/>
                                      <w:u w:val="none"/>
                                    </w:rPr>
                                    <w:t xml:space="preserve">Numéro d´identification UE :</w:t>
                                  </w:r>
                                </w:p>
                                <w:p>
                                  <w:pPr>
                                    <w:spacing w:before="0" w:after="0" w:line="180" w:lineRule="exact"/>
                                    <w:jc w:val="left"/>
                                  </w:pPr>
                                  <w:r>
                                    <w:rPr>
                                      <w:rFonts w:ascii="Arial" w:hAnsi="Arial" w:cs="Arial"/>
                                      <w:b w:val="false"/>
                                      <w:i w:val="false"/>
                                      <w:strike w:val="false"/>
                                      <w:color w:val="000000"/>
                                      <w:spacing w:val="0"/>
                                      <w:sz w:val="16"/>
                                      <w:u w:val="none"/>
                                    </w:rPr>
                                    <w:t xml:space="preserve">N°CE : 202-589-1</w:t>
                                  </w:r>
                                </w:p>
                              </w:tc>
                              <w:tc>
                                <w:tcPr>
                                  <w:tcW w:w="107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0,1</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Eye Irrit. 2 - H319</w:t>
                                  </w:r>
                                </w:p>
                                <w:p>
                                  <w:pPr>
                                    <w:spacing w:before="0" w:after="0" w:line="180" w:lineRule="exact"/>
                                    <w:jc w:val="left"/>
                                  </w:pPr>
                                  <w:r>
                                    <w:rPr>
                                      <w:rFonts w:ascii="Arial" w:hAnsi="Arial" w:cs="Arial"/>
                                      <w:b w:val="false"/>
                                      <w:i w:val="false"/>
                                      <w:strike w:val="false"/>
                                      <w:color w:val="000000"/>
                                      <w:spacing w:val="0"/>
                                      <w:sz w:val="16"/>
                                      <w:u w:val="none"/>
                                    </w:rPr>
                                    <w:t xml:space="preserve">Skin Sens. 1B - H317</w:t>
                                  </w:r>
                                </w:p>
                              </w:tc>
                              <w:tc>
                                <w:tcPr>
                                  <w:tcW w:w="226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180" w:lineRule="exact"/>
                                    <w:jc w:val="left"/>
                                  </w:pPr>
                                  <w:r>
                                    <w:rPr>
                                      <w:rFonts w:ascii="Arial" w:hAnsi="Arial" w:cs="Arial"/>
                                      <w:b w:val="false"/>
                                      <w:i w:val="false"/>
                                      <w:strike w:val="false"/>
                                      <w:color w:val="000000"/>
                                      <w:spacing w:val="0"/>
                                      <w:sz w:val="16"/>
                                      <w:u w:val="none"/>
                                    </w:rPr>
                                    <w:t xml:space="preserve">Non applicable</w:t>
                                  </w:r>
                                </w:p>
                              </w:tc>
                            </w:tr>
                          </w:tbl>
                          <w:tbl>
                            <w:tblPr>
                              <w:tblLayout w:type="fixed"/>
                              <w:tblInd w:w="0" w:type="dxa"/>
                              <w:tblCellMar>
                                <w:left w:w="0" w:type="dxa"/>
                                <w:right w:w="0" w:type="dxa"/>
                              </w:tblCellMar>
                            </w:tblPr>
                            <w:tblGrid>
                              <w:gridCol w:w="4536"/>
                              <w:gridCol w:w="5614"/>
                            </w:tblGrid>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bl>
                          <w:tbl>
                            <w:tblPr>
                              <w:tblLayout w:type="fixed"/>
                              <w:tblInd w:w="0" w:type="dxa"/>
                              <w:tblCellMar>
                                <w:left w:w="0" w:type="dxa"/>
                                <w:right w:w="0" w:type="dxa"/>
                              </w:tblCellMar>
                            </w:tblPr>
                            <w:tblGrid>
                              <w:gridCol w:w="4536"/>
                              <w:gridCol w:w="3686"/>
                              <w:gridCol w:w="1928"/>
                            </w:tblGrid>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bl>
                          <w:tbl>
                            <w:tblPr>
                              <w:tblLayout w:type="fixed"/>
                              <w:tblInd w:w="0" w:type="dxa"/>
                              <w:tblCellMar>
                                <w:left w:w="0" w:type="dxa"/>
                                <w:right w:w="0" w:type="dxa"/>
                              </w:tblCellMar>
                            </w:tblPr>
                            <w:tblGrid>
                              <w:gridCol w:w="2552"/>
                              <w:gridCol w:w="2552"/>
                              <w:gridCol w:w="2552"/>
                              <w:gridCol w:w="2494"/>
                            </w:tblGrid>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bl>
                          <w:tbl>
                            <w:tblPr>
                              <w:tblLayout w:type="fixed"/>
                              <w:tblInd w:w="0" w:type="dxa"/>
                              <w:tblCellMar>
                                <w:left w:w="0" w:type="dxa"/>
                                <w:right w:w="0" w:type="dxa"/>
                              </w:tblCellMar>
                            </w:tblPr>
                            <w:tblGrid>
                              <w:gridCol w:w="2836"/>
                              <w:gridCol w:w="4536"/>
                              <w:gridCol w:w="2778"/>
                            </w:tblGrid>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Sensibilisation cutanée - Catégorie 1 -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13/03/2021</w:t>
                                  </w:r>
                                </w:p>
                              </w:tc>
                              <w:tc>
                                <w:tcPr>
                                  <w:tcW w:w="226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bl>
                          <w:tbl>
                            <w:tblPr>
                              <w:tblLayout w:type="fixed"/>
                              <w:tblInd w:w="0" w:type="dxa"/>
                              <w:tblCellMar>
                                <w:left w:w="0" w:type="dxa"/>
                                <w:right w:w="0" w:type="dxa"/>
                              </w:tblCellMar>
                            </w:tblPr>
                            <w:tblGrid>
                              <w:gridCol w:w="1702"/>
                              <w:gridCol w:w="8448"/>
                            </w:tblGrid>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Acute Tox. 4 Oral</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Toxicité aiguë (par voie orale) - Catégorie 4</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Acute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Acute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1</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2</w:t>
                                  </w:r>
                                </w:p>
                              </w:tc>
                            </w:tr>
                            <w:tr>
                              <w:trPr>
                                <w:trHeight w:val="457"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Aquatic Chronic 3</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Danger pour l'environnement aquatique - Aquatic Chronic 3</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Dam.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Lésions oculaires graves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Eye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oculaire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H317</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Peut provoquer une allergie cutanée</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Irrit. 2</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Irritation cutanée - Catégorie 2</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w:t>
                                  </w:r>
                                </w:p>
                              </w:tc>
                            </w:tr>
                            <w:tr>
                              <w:trPr>
                                <w:trHeight w:val="229" w:hRule="atLeast"/>
                              </w:trPr>
                              <w:tc>
                                <w:tcPr>
                                  <w:tcW w:w="1696"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Skin Sens. 1B</w:t>
                                  </w:r>
                                </w:p>
                              </w:tc>
                              <w:tc>
                                <w:tcPr>
                                  <w:tcW w:w="844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Sensibilisation cutanée - Catégorie 1B</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26" name="Rectangle 132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27" name="Rectangle 132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28" name="Rectangle 132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29" name="Rectangle 132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30" name="Rectangle 133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3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32" name="Rectangle 133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33" name="Rectangle 133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34" name="Rectangle 133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35" name="Rectangle 133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49336"/>
                <wp:effectExtent l="0" t="0" r="0" b="0"/>
                <wp:wrapNone/>
                <wp:docPr id="1336" name="Rectangle 1336"/>
                <wp:cNvGraphicFramePr/>
                <a:graphic xmlns:a="http://schemas.openxmlformats.org/drawingml/2006/main">
                  <a:graphicData uri="http://schemas.microsoft.com/office/word/2010/wordprocessingShape">
                    <wps:wsp>
                      <wps:cNvSpPr/>
                      <wps:spPr bwMode="auto">
                        <a:xfrm>
                          <a:off x="541800" y="1205640"/>
                          <a:ext cx="6508440" cy="8449336"/>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37" name="Rectangle 133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38" name="Rectangle 133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39" name="Rectangle 133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40" name="Rectangle 134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41" name="Rectangle 134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43" name="Rectangle 134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44" name="Rectangle 134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45" name="Rectangle 134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46" name="Rectangle 134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04624"/>
                <wp:effectExtent l="0" t="0" r="0" b="0"/>
                <wp:wrapNone/>
                <wp:docPr id="1347" name="Rectangle 1347"/>
                <wp:cNvGraphicFramePr/>
                <a:graphic xmlns:a="http://schemas.openxmlformats.org/drawingml/2006/main">
                  <a:graphicData uri="http://schemas.microsoft.com/office/word/2010/wordprocessingShape">
                    <wps:wsp>
                      <wps:cNvSpPr/>
                      <wps:spPr bwMode="auto">
                        <a:xfrm>
                          <a:off x="541800" y="1205640"/>
                          <a:ext cx="6508440" cy="8304624"/>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48" name="Rectangle 134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49" name="Rectangle 134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50" name="Rectangle 135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51" name="Rectangle 135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52" name="Rectangle 135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5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54" name="Rectangle 135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55" name="Rectangle 135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56" name="Rectangle 135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57" name="Rectangle 135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9168"/>
                <wp:effectExtent l="0" t="0" r="0" b="0"/>
                <wp:wrapNone/>
                <wp:docPr id="1358" name="Rectangle 1358"/>
                <wp:cNvGraphicFramePr/>
                <a:graphic xmlns:a="http://schemas.openxmlformats.org/drawingml/2006/main">
                  <a:graphicData uri="http://schemas.microsoft.com/office/word/2010/wordprocessingShape">
                    <wps:wsp>
                      <wps:cNvSpPr/>
                      <wps:spPr bwMode="auto">
                        <a:xfrm>
                          <a:off x="541800" y="1205640"/>
                          <a:ext cx="6508440" cy="8319168"/>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59" name="Rectangle 135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60" name="Rectangle 136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61" name="Rectangle 136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62" name="Rectangle 136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63" name="Rectangle 136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6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65" name="Rectangle 136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66" name="Rectangle 136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67" name="Rectangle 136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68" name="Rectangle 136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19168"/>
                <wp:effectExtent l="0" t="0" r="0" b="0"/>
                <wp:wrapNone/>
                <wp:docPr id="1369" name="Rectangle 1369"/>
                <wp:cNvGraphicFramePr/>
                <a:graphic xmlns:a="http://schemas.openxmlformats.org/drawingml/2006/main">
                  <a:graphicData uri="http://schemas.microsoft.com/office/word/2010/wordprocessingShape">
                    <wps:wsp>
                      <wps:cNvSpPr/>
                      <wps:spPr bwMode="auto">
                        <a:xfrm>
                          <a:off x="541800" y="1205640"/>
                          <a:ext cx="6508440" cy="8319168"/>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70" name="Rectangle 137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71" name="Rectangle 137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72" name="Rectangle 137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73" name="Rectangle 137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74" name="Rectangle 137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7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76" name="Rectangle 137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77" name="Rectangle 137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78" name="Rectangle 137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79" name="Rectangle 137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12250"/>
                <wp:effectExtent l="0" t="0" r="0" b="0"/>
                <wp:wrapNone/>
                <wp:docPr id="1380" name="Rectangle 1380"/>
                <wp:cNvGraphicFramePr/>
                <a:graphic xmlns:a="http://schemas.openxmlformats.org/drawingml/2006/main">
                  <a:graphicData uri="http://schemas.microsoft.com/office/word/2010/wordprocessingShape">
                    <wps:wsp>
                      <wps:cNvSpPr/>
                      <wps:spPr bwMode="auto">
                        <a:xfrm>
                          <a:off x="541800" y="1205640"/>
                          <a:ext cx="6508440" cy="841225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81" name="Rectangle 138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82" name="Rectangle 138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83" name="Rectangle 138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84" name="Rectangle 138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85" name="Rectangle 138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8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87" name="Rectangle 138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88" name="Rectangle 138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89" name="Rectangle 138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90" name="Rectangle 139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5716"/>
                <wp:effectExtent l="0" t="0" r="0" b="0"/>
                <wp:wrapNone/>
                <wp:docPr id="1391" name="Rectangle 1391"/>
                <wp:cNvGraphicFramePr/>
                <a:graphic xmlns:a="http://schemas.openxmlformats.org/drawingml/2006/main">
                  <a:graphicData uri="http://schemas.microsoft.com/office/word/2010/wordprocessingShape">
                    <wps:wsp>
                      <wps:cNvSpPr/>
                      <wps:spPr bwMode="auto">
                        <a:xfrm>
                          <a:off x="541800" y="1205640"/>
                          <a:ext cx="6508440" cy="8285716"/>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92" name="Rectangle 139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93" name="Rectangle 139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94" name="Rectangle 139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95" name="Rectangle 139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96" name="Rectangle 139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9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98" name="Rectangle 139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99" name="Rectangle 139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00" name="Rectangle 140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01" name="Rectangle 140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78444"/>
                <wp:effectExtent l="0" t="0" r="0" b="0"/>
                <wp:wrapNone/>
                <wp:docPr id="1402" name="Rectangle 1402"/>
                <wp:cNvGraphicFramePr/>
                <a:graphic xmlns:a="http://schemas.openxmlformats.org/drawingml/2006/main">
                  <a:graphicData uri="http://schemas.microsoft.com/office/word/2010/wordprocessingShape">
                    <wps:wsp>
                      <wps:cNvSpPr/>
                      <wps:spPr bwMode="auto">
                        <a:xfrm>
                          <a:off x="541800" y="1205640"/>
                          <a:ext cx="6508440" cy="8278444"/>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03" name="Rectangle 140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04" name="Rectangle 140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05" name="Rectangle 140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06" name="Rectangle 140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07" name="Rectangle 140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0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3">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09" name="Rectangle 140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10" name="Rectangle 141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11" name="Rectangle 141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12" name="Rectangle 141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4420648"/>
                <wp:effectExtent l="0" t="0" r="0" b="0"/>
                <wp:wrapNone/>
                <wp:docPr id="1413" name="Rectangle 1413"/>
                <wp:cNvGraphicFramePr/>
                <a:graphic xmlns:a="http://schemas.openxmlformats.org/drawingml/2006/main">
                  <a:graphicData uri="http://schemas.microsoft.com/office/word/2010/wordprocessingShape">
                    <wps:wsp>
                      <wps:cNvSpPr/>
                      <wps:spPr bwMode="auto">
                        <a:xfrm>
                          <a:off x="541800" y="1205640"/>
                          <a:ext cx="6508440" cy="4420648"/>
                        </a:xfrm>
                        <a:prstGeom prst="rect">
                          <a:avLst/>
                        </a:prstGeom>
                        <a:ln w="0" cap="sq" cmpd="sng">
                          <a:noFill/>
                          <a:miter lim="800000"/>
                        </a:ln>
                      </wps:spPr>
                      <wps:linkedTxbx id="1" seq="8"/>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414" name="Rectangle 1414"/>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9/9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415" name="Rectangle 1415"/>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13/03/2021 -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416" name="Rectangle 1416"/>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FLEUR DE FRANGIPANIER 2019557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417" name="Rectangle 1417"/>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418" name="Rectangle 1418"/>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41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4">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420" name="Rectangle 1420"/>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421" name="Rectangle 1421"/>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13.03.2021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422" name="Rectangle 1422"/>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423" name="Rectangle 1423"/>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926" Type="http://schemas.openxmlformats.org/officeDocument/2006/relationships/customXml" Target="../customXml/item2.xml"/><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1.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image" Target="/media/image10.jpg"/><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image" Target="/media/image9.jpg"/><Relationship Id="rId919" Type="http://schemas.openxmlformats.org/officeDocument/2006/relationships/image" Target="/media/image5.jpg"/><Relationship Id="rId922" Type="http://schemas.openxmlformats.org/officeDocument/2006/relationships/image" Target="/media/image8.jpg"/><Relationship Id="rId927" Type="http://schemas.openxmlformats.org/officeDocument/2006/relationships/customXml" Target="../customXml/item3.xml"/><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4" ma:contentTypeDescription="Crée un document." ma:contentTypeScope="" ma:versionID="33793bb466a6c1deefa5947bd1b4a4be">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ee0af257591274c7754616de1065c63b"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r xmlns="76ecad74-da29-4638-b8ec-b18309145f3d" xsi:nil="true"/>
  </documentManagement>
</p:properties>
</file>

<file path=customXml/itemProps1.xml><?xml version="1.0" encoding="utf-8"?>
<ds:datastoreItem xmlns:ds="http://schemas.openxmlformats.org/officeDocument/2006/customXml" ds:itemID="{0E21B9C9-4419-44B1-A8E0-23AC08C71BF9}"/>
</file>

<file path=customXml/itemProps2.xml><?xml version="1.0" encoding="utf-8"?>
<ds:datastoreItem xmlns:ds="http://schemas.openxmlformats.org/officeDocument/2006/customXml" ds:itemID="{12322811-FCB6-4213-A483-46E6518D91BA}"/>
</file>

<file path=customXml/itemProps3.xml><?xml version="1.0" encoding="utf-8"?>
<ds:datastoreItem xmlns:ds="http://schemas.openxmlformats.org/officeDocument/2006/customXml" ds:itemID="{FB3A88B1-E9F1-400A-BD5A-327FAC80C2C0}"/>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