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jpg" ContentType="image/jpeg"/>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9365f17fab354b3c" Type="http://schemas.openxmlformats.org/officeDocument/2006/relationships/officeDocument" Target="/word/document.xml"/><Relationship Id="rId1"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90080"/>
                <wp:effectExtent l="0" t="0" r="0" b="0"/>
                <wp:wrapNone/>
                <wp:docPr id="1731" name="Rectangle 1731"/>
                <wp:cNvGraphicFramePr/>
                <a:graphic xmlns:a="http://schemas.openxmlformats.org/drawingml/2006/main">
                  <a:graphicData uri="http://schemas.microsoft.com/office/word/2010/wordprocessingShape">
                    <wps:wsp>
                      <wps:cNvSpPr/>
                      <wps:spPr bwMode="auto">
                        <a:xfrm>
                          <a:off x="541800" y="1205640"/>
                          <a:ext cx="6508440" cy="8290080"/>
                        </a:xfrm>
                        <a:prstGeom prst="rect">
                          <a:avLst/>
                        </a:prstGeom>
                        <a:ln w="0" cap="sq" cmpd="sng">
                          <a:noFill/>
                          <a:miter lim="800000"/>
                        </a:ln>
                      </wps:spPr>
                      <wps:txbx id="1">
                        <w:txbxContent>
                          <w:tbl>
                            <w:tblPr>
                              <w:tblLayout w:type="fixed"/>
                              <w:tblInd w:w="0" w:type="dxa"/>
                              <w:tblCellMar>
                                <w:left w:w="0" w:type="dxa"/>
                                <w:right w:w="0" w:type="dxa"/>
                              </w:tblCellMar>
                            </w:tblPr>
                            <w:tblGrid>
                              <w:gridCol w:w="2268"/>
                              <w:gridCol w:w="226"/>
                              <w:gridCol w:w="100"/>
                              <w:gridCol w:w="510"/>
                              <w:gridCol w:w="284"/>
                              <w:gridCol w:w="1134"/>
                              <w:gridCol w:w="1134"/>
                              <w:gridCol w:w="100"/>
                              <w:gridCol w:w="1078"/>
                              <w:gridCol w:w="1134"/>
                              <w:gridCol w:w="1134"/>
                              <w:gridCol w:w="1134"/>
                            </w:tblGrid>
                            <w:tr>
                              <w:trPr>
                                <w:trHeight w:val="270" w:hRule="atLeast"/>
                              </w:trPr>
                              <w:tc>
                                <w:tcPr>
                                  <w:tcW w:w="10144" w:type="dxa"/>
                                  <w:gridSpan w:val="12"/>
                                  <w:tcBorders>
                                    <w:top w:val="single" w:color="D92A33" w:sz="4"/>
                                    <w:left w:val="nil" w:color="000000" w:sz="0"/>
                                    <w:bottom w:val="single" w:color="D92A33" w:sz="4"/>
                                    <w:right w:val="nil" w:color="000000" w:sz="0"/>
                                  </w:tcBorders>
                                  <w:shd w:val="clear" w:color="auto" w:fill="FBFBFB"/>
                                  <w:tcMar>
                                    <w:top w:w="56" w:type="dxa"/>
                                    <w:left w:w="56" w:type="dxa"/>
                                    <w:bottom w:w="56"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 Identification de la substance/du mélange et de la société/l’entreprise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1.1 - Identificateur de produit</w:t>
                                  </w:r>
                                </w:p>
                              </w:tc>
                            </w:tr>
                            <w:tr>
                              <w:trPr>
                                <w:trHeight w:val="456"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Nom commercial du produit/désignation</w:t>
                                  </w:r>
                                </w:p>
                              </w:tc>
                              <w:tc>
                                <w:tcPr>
                                  <w:tcW w:w="7876" w:type="dxa"/>
                                  <w:gridSpan w:val="11"/>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BOUGIE MENTHE CHLOROPHYLE 1406073 10%</w:t>
                                  </w: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Nom chimique</w:t>
                                  </w:r>
                                </w:p>
                              </w:tc>
                              <w:tc>
                                <w:tcPr>
                                  <w:tcW w:w="7876" w:type="dxa"/>
                                  <w:gridSpan w:val="11"/>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Type de produit</w:t>
                                  </w:r>
                                </w:p>
                              </w:tc>
                              <w:tc>
                                <w:tcPr>
                                  <w:tcW w:w="7876" w:type="dxa"/>
                                  <w:gridSpan w:val="11"/>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Mélange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1.2 - Utilisations identifiées pertinentes de la substance ou du mélange et utilisations déconseillées</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5666"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Utilisations identifiées pertinentes</w:t>
                                  </w:r>
                                </w:p>
                              </w:tc>
                              <w:tc>
                                <w:tcPr>
                                  <w:tcW w:w="4474"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Bougie parfumée à destination du grand public</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1.3 - Renseignements concernant le fournisseur de la fiche de données de sécurité</w:t>
                                  </w:r>
                                </w:p>
                              </w:tc>
                            </w:tr>
                            <w:tr>
                              <w:trPr>
                                <w:trHeight w:val="91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w:t>
                                  </w:r>
                                </w:p>
                                <w:p>
                                  <w:pPr>
                                    <w:spacing w:before="0" w:after="0" w:line="220" w:lineRule="exact"/>
                                    <w:jc w:val="left"/>
                                  </w:pPr>
                                  <w:r>
                                    <w:rPr>
                                      <w:rFonts w:ascii="Arial" w:hAnsi="Arial" w:cs="Arial"/>
                                      <w:b w:val="false"/>
                                      <w:i w:val="false"/>
                                      <w:strike w:val="false"/>
                                      <w:color w:val="000000"/>
                                      <w:spacing w:val="0"/>
                                      <w:sz w:val="20"/>
                                      <w:u w:val="none"/>
                                    </w:rPr>
                                    <w:t xml:space="preserve">1, rue de la clé des champs</w:t>
                                  </w:r>
                                </w:p>
                                <w:p>
                                  <w:pPr>
                                    <w:spacing w:before="0" w:after="0" w:line="220" w:lineRule="exact"/>
                                    <w:jc w:val="left"/>
                                  </w:pPr>
                                  <w:r>
                                    <w:rPr>
                                      <w:rFonts w:ascii="Arial" w:hAnsi="Arial" w:cs="Arial"/>
                                      <w:b w:val="false"/>
                                      <w:i w:val="false"/>
                                      <w:strike w:val="false"/>
                                      <w:color w:val="000000"/>
                                      <w:spacing w:val="0"/>
                                      <w:sz w:val="20"/>
                                      <w:u w:val="none"/>
                                    </w:rPr>
                                    <w:t xml:space="preserve">68600 Volgelsheim France</w:t>
                                  </w:r>
                                </w:p>
                                <w:p>
                                  <w:pPr>
                                    <w:spacing w:before="0" w:after="0" w:line="220" w:lineRule="exact"/>
                                    <w:jc w:val="left"/>
                                  </w:pPr>
                                  <w:r>
                                    <w:rPr>
                                      <w:rFonts w:ascii="Arial" w:hAnsi="Arial" w:cs="Arial"/>
                                      <w:b w:val="false"/>
                                      <w:i w:val="false"/>
                                      <w:strike w:val="false"/>
                                      <w:color w:val="000000"/>
                                      <w:spacing w:val="0"/>
                                      <w:sz w:val="20"/>
                                      <w:u w:val="none"/>
                                    </w:rPr>
                                    <w:t xml:space="preserve">Téléphone : 03 89 22 77 65</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1.4 - Numéro d’appel d’urgence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ORFILA (INRS) + 33 (0)1 45 42 59 59 France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r>
                            <w:tr>
                              <w:trPr>
                                <w:trHeight w:val="284"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1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2: Identification des dangers</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2.1 - Classification de la substance ou du mélange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Classification selon règlement (CE) N° 1272/2008 [CLP]</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546"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w:t>
                                  </w:r>
                                </w:p>
                              </w:tc>
                              <w:tc>
                                <w:tcPr>
                                  <w:tcW w:w="7592" w:type="dxa"/>
                                  <w:gridSpan w:val="9"/>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Sensibilisation cutanée - Catégorie 1</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2.2 - Éléments d'étiquetage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étiquetage selon le règlement (CE) N° 1272/2008 [CLP]</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Contient: l-p-mentha-1(6),8-dien-2-one (l-carvone) (CAS No.: 6485-40-1)</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Mention d'avertissement</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8"/>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Attention</w:t>
                                  </w:r>
                                </w:p>
                              </w:tc>
                            </w:tr>
                            <w:tr>
                              <w:trPr>
                                <w:trHeight w:val="1361" w:hRule="exact"/>
                              </w:trPr>
                              <w:tc>
                                <w:tcPr>
                                  <w:tcW w:w="3340"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Pictogrammes des risques</w:t>
                                  </w:r>
                                </w:p>
                              </w:tc>
                              <w:tc>
                                <w:tcPr>
                                  <w:tcW w:w="113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tcPr>
                                <w:p>
                                  <w:pPr>
                                    <w:rPr>
                                      <w:lang w:val="en-US"/>
                                    </w:rPr>
                                  </w:pPr>
                                  <w:r>
                                    <w:rPr>
                                      <w:sz w:val="2"/>
                                    </w:rPr>
                                    <w:drawing>
                                      <wp:inline distT="0" distB="0" distL="0" distR="0" wp14:anchorId="62EC9BC3" wp14:editId="2A206D38">
                                        <wp:extent cx="648000" cy="864000"/>
                                        <wp:effectExtent l="0" t="0" r="0" b="0"/>
                                        <wp:docPr id="173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915">
                                                  <a:extLst>
                                                    <a:ext uri="{28A0092B-C50C-407E-A947-70E740481C1C}">
                                                      <a14:useLocalDpi xmlns:a14="http://schemas.microsoft.com/office/drawing/2010/main" val="0"/>
                                                    </a:ext>
                                                  </a:extLst>
                                                </a:blip>
                                                <a:stretch>
                                                  <a:fillRect/>
                                                </a:stretch>
                                              </pic:blipFill>
                                              <pic:spPr>
                                                <a:xfrm>
                                                  <a:off x="0" y="0"/>
                                                  <a:ext cx="648000" cy="864000"/>
                                                </a:xfrm>
                                                <a:prstGeom prst="rect">
                                                  <a:avLst/>
                                                </a:prstGeom>
                                              </pic:spPr>
                                            </pic:pic>
                                          </a:graphicData>
                                        </a:graphic>
                                      </wp:inline>
                                    </w:drawing>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Mentions de danger</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8"/>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H317</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Peut provoquer une allergie cutanée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Conseils de prudence</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8"/>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84"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P101</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 cas de consultation d'un médecin, garder à disposition le récipient ou l'étiquette.</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P102</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Tenir hors de portée des enfants.</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P103</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Lire l'étiquette avant utilisation.</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P302+P352</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 CAS DE CONTACT AVEC LA PEAU: laver abondamment à l'eau et au savon.</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P333+P313</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 cas d'irritation ou d'éruption cutanée: consulter un médecin.</w:t>
                                  </w:r>
                                </w:p>
                              </w:tc>
                            </w:tr>
                          </w:tbl>
                          <w:tbl>
                            <w:tblPr>
                              <w:tblLayout w:type="fixed"/>
                              <w:tblInd w:w="0" w:type="dxa"/>
                              <w:tblCellMar>
                                <w:left w:w="0" w:type="dxa"/>
                                <w:right w:w="0" w:type="dxa"/>
                              </w:tblCellMar>
                            </w:tblPr>
                            <w:tblGrid>
                              <w:gridCol w:w="2268"/>
                              <w:gridCol w:w="226"/>
                              <w:gridCol w:w="568"/>
                              <w:gridCol w:w="1474"/>
                              <w:gridCol w:w="1078"/>
                              <w:gridCol w:w="2268"/>
                              <w:gridCol w:w="2268"/>
                            </w:tblGrid>
                            <w:tr>
                              <w:trPr>
                                <w:trHeight w:val="446"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P501</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Éliminer le récipient dans une installation de recyclage ou d'élimination des déchets approuvée.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Phrases EUH</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74"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EUH208</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Contient d-limonene (r)-p-mentha-1,8-diene (5989-27-5) | p-menthan-3-one (menthone) (10458-14-7) | l-p-mentha-1(6),8-dien-2-one (l-carvone) (6485-40-1) . Peut produire une réaction allergique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2.3 - Autres dangers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 PBT.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matière vPvB.</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3: Composition / informations sur les composants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3.1 - Substances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Non applicable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3.2 - Mélanges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70"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Nom chimique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Classe(s)</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Concentration spécifiques</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l-p-mentha-1(6),8-dien-2-one (l-carvone)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6485-40-1</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229-352-5</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1,311</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106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d-limonene (r)-p-mentha-1,8-diene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5989-27-5</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 601-029-00-7</w:t>
                                  </w:r>
                                </w:p>
                                <w:p>
                                  <w:pPr>
                                    <w:spacing w:before="0" w:after="0" w:line="180" w:lineRule="exact"/>
                                    <w:jc w:val="left"/>
                                  </w:pPr>
                                  <w:r>
                                    <w:rPr>
                                      <w:rFonts w:ascii="Arial" w:hAnsi="Arial" w:cs="Arial"/>
                                      <w:b w:val="false"/>
                                      <w:i w:val="false"/>
                                      <w:strike w:val="false"/>
                                      <w:color w:val="000000"/>
                                      <w:spacing w:val="0"/>
                                      <w:sz w:val="16"/>
                                      <w:u w:val="none"/>
                                    </w:rPr>
                                    <w:t xml:space="preserve">N°CE : 227-813-5</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0,138</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p>
                                  <w:pPr>
                                    <w:spacing w:before="0" w:after="0" w:line="180" w:lineRule="exact"/>
                                    <w:jc w:val="left"/>
                                  </w:pPr>
                                  <w:r>
                                    <w:rPr>
                                      <w:rFonts w:ascii="Arial" w:hAnsi="Arial" w:cs="Arial"/>
                                      <w:b w:val="false"/>
                                      <w:i w:val="false"/>
                                      <w:strike w:val="false"/>
                                      <w:color w:val="000000"/>
                                      <w:spacing w:val="0"/>
                                      <w:sz w:val="16"/>
                                      <w:u w:val="none"/>
                                    </w:rPr>
                                    <w:t xml:space="preserve">Aquatic Chronic 1 - H410</w:t>
                                  </w:r>
                                </w:p>
                                <w:p>
                                  <w:pPr>
                                    <w:spacing w:before="0" w:after="0" w:line="180" w:lineRule="exact"/>
                                    <w:jc w:val="left"/>
                                  </w:pPr>
                                  <w:r>
                                    <w:rPr>
                                      <w:rFonts w:ascii="Arial" w:hAnsi="Arial" w:cs="Arial"/>
                                      <w:b w:val="false"/>
                                      <w:i w:val="false"/>
                                      <w:strike w:val="false"/>
                                      <w:color w:val="000000"/>
                                      <w:spacing w:val="0"/>
                                      <w:sz w:val="16"/>
                                      <w:u w:val="none"/>
                                    </w:rPr>
                                    <w:t xml:space="preserve">Asp. Tox. 1 - H304</w:t>
                                  </w:r>
                                </w:p>
                                <w:p>
                                  <w:pPr>
                                    <w:spacing w:before="0" w:after="0" w:line="180" w:lineRule="exact"/>
                                    <w:jc w:val="left"/>
                                  </w:pPr>
                                  <w:r>
                                    <w:rPr>
                                      <w:rFonts w:ascii="Arial" w:hAnsi="Arial" w:cs="Arial"/>
                                      <w:b w:val="false"/>
                                      <w:i w:val="false"/>
                                      <w:strike w:val="false"/>
                                      <w:color w:val="000000"/>
                                      <w:spacing w:val="0"/>
                                      <w:sz w:val="16"/>
                                      <w:u w:val="none"/>
                                    </w:rPr>
                                    <w:t xml:space="preserve">Flam. Liq. 3 - H226</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1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p-menthan-3-one (menthone)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10458-14-7</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233-944-9</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0,131</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4: Premiers secours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4.1 - Description des premiers secours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 cas d'inhalation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Veiller à un apport d'air frais.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Après contact avec la peau</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Après contact avec la peau, se laver immédiatement et abondamment avec eau et savon.</w:t>
                                  </w: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en cas de réactions cutanées, consulter un médecin.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Après contact avec les yeux</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soigneusement et abondamment avec une douche oculaire ou de l'eau.</w:t>
                                  </w: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En cas d'irritation oculaire, consulter un ophtalmologue.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 cas d'ingestion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la bouche abondamment à l'eau.</w:t>
                                  </w: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faire vomir.</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4.2 - Principaux symptômes et effets, aigus et différés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En cas d'inhalation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Après contact avec la  peau</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Provoque une irritation cutanée.</w:t>
                                  </w:r>
                                </w:p>
                              </w:tc>
                            </w:tr>
                          </w:tbl>
                          <w:tbl>
                            <w:tblPr>
                              <w:tblLayout w:type="fixed"/>
                              <w:tblInd w:w="0" w:type="dxa"/>
                              <w:tblCellMar>
                                <w:left w:w="0" w:type="dxa"/>
                                <w:right w:w="0" w:type="dxa"/>
                              </w:tblCellMar>
                            </w:tblPr>
                            <w:tblGrid>
                              <w:gridCol w:w="4536"/>
                              <w:gridCol w:w="5614"/>
                            </w:tblGrid>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Après contact avec les  yeux</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Provoque une irritation des yeux.</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En cas d'ingestion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4.3 - Indication des éventuels soins médicaux immédiats et traitements particuliers nécessaires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5: Mesures de lutte contre l'incendie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5.1 - Moyen d'extinction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Moyens d'extinction appropriés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ABC-poudre</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Dioxyde de carbone (CO2)</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Mousse</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Poudre d'extinction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Moyens d'extinction inappropriés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Jet d'eau à grand débit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5.2 - Dangers particuliers résultant de la substance ou du mélange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Dangers particuliers résultant de la substance ou du mélange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Produits de décomposition dangereux</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5.3 - Conseils aux pompiers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Adapter les mesures d'extinction au milieu environnant</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6: Mesures à prendre en cas de dispersion accidentelle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6.1 - Précautions individuelles, équipement de protection et procédures d’urgence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Pour les non-secouristes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Assurer une aération suffisante.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Pour les secouristes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6.2 - Précautions pour la protection de l’environnement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laisser s'écouler dans les canalisations ni dans les eaux courantes.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6.3 - Méthodes et matériel de confinement et de nettoyage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et matériel de confinement</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Traiter le matériau recueilli conformément à la section Elimination.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et matériel de nettoyage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Recueillir mécaniquement.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Techniques inappropriées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6.4 - Référence à d'autres sections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Protection individuelle: voir rubrique 8</w:t>
                                  </w: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Evacuation: voir rubrique 13</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7: Manipulation et stockage</w:t>
                                  </w:r>
                                </w:p>
                              </w:tc>
                            </w:tr>
                          </w:tbl>
                          <w:tbl>
                            <w:tblPr>
                              <w:tblLayout w:type="fixed"/>
                              <w:tblInd w:w="0" w:type="dxa"/>
                              <w:tblCellMar>
                                <w:left w:w="0" w:type="dxa"/>
                                <w:right w:w="0" w:type="dxa"/>
                              </w:tblCellMar>
                            </w:tblPr>
                            <w:tblGrid>
                              <w:gridCol w:w="2552"/>
                              <w:gridCol w:w="1984"/>
                              <w:gridCol w:w="568"/>
                              <w:gridCol w:w="2552"/>
                              <w:gridCol w:w="568"/>
                              <w:gridCol w:w="1928"/>
                            </w:tblGrid>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7.1 - Précautions à prendre pour une manipulation sans danger</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Recommandation</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de: Contact avec les yeux</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de: Contact avec la peau</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Notice explicative sur l'hygiène industrielle  générale</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7.2 - Conditions d’un stockage sûr, y compris d’éventuelles incompatibilités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Protéger contre:Forte chaleur</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7.3 - Utilisation(s) finale(s) particulière(s)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Bougie parfumée à destination du grand public</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8: Contrôles de l’exposition/protection individuelle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8.1 - Paramètres de contrôle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8.2 - Contrôle de l'exposition</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Contrôles techniques appropriés</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Le produit est stable si stocké à des températures ambiantes normales.</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Assurer une aération suffisante.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exac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Mesures de protection individuelle, telles que les  équipements de protection individuelle</w:t>
                                  </w:r>
                                </w:p>
                              </w:tc>
                              <w:tc>
                                <w:tcPr>
                                  <w:tcW w:w="368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tout contact avec les yeux, la peau ou les vêtements.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Contrôles d'exposition liés à la protection de  l'environnement</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le rejet dans l'environnement.</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jeter les résidus à l'égout.</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9: Propriétés physiques et chimiques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9.1 - Informations sur les propriétés physiques et chimiques essentielles</w:t>
                                  </w:r>
                                </w:p>
                              </w:tc>
                            </w:tr>
                            <w:tr>
                              <w:trPr>
                                <w:trHeight w:val="170"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État</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Solide</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Aspect</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Solide</w:t>
                                  </w: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Couleur</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Blanc</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Odeur</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caractéristique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Seuil olfactif</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de fusion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de congélation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d'ébullition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éclair</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&gt; 100 °C</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Taux d'évaporation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inflammabilité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Limite inférieure d’explosivité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Limite supérieure d'explosivité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Pression de la vapeur</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 de la vapeur</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 relative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bl>
                          <w:tbl>
                            <w:tblPr>
                              <w:tblLayout w:type="fixed"/>
                              <w:tblInd w:w="0" w:type="dxa"/>
                              <w:tblCellMar>
                                <w:left w:w="0" w:type="dxa"/>
                                <w:right w:w="0" w:type="dxa"/>
                              </w:tblCellMar>
                            </w:tblPr>
                            <w:tblGrid>
                              <w:gridCol w:w="2836"/>
                              <w:gridCol w:w="2268"/>
                              <w:gridCol w:w="2268"/>
                              <w:gridCol w:w="2778"/>
                            </w:tblGrid>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(Eau)</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(Ethanol)</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(Acétone)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(Solvants organiques)</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KOW</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Température d’auto-inflammabilité</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Température de décomposition</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Viscosité, cinématique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Viscosité, dynamique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Caractéristiques des particules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Taille des particules</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9.2 - Autres informations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Teneur en COV</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Energie minimale d'ignition</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Conductivité</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10: Stabilité et réactivité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10.1 - Réactivité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Ce produit est considéré comme non réactif dans des conditions normales d'utilisation.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10.2 - Stabilité chimique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Le produit est stable si stocké à des températures ambiantes normales.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10.3 - Possibilité de réactions dangereuses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Des réactions dangereuses ne se produisent pas si utilisé et stocké correctement.</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10.4 - Conditions à éviter</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10.5 - Matières incompatibles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10.6 - Produits de décomposition dangereux</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se décompose pas si utilisé dans les conditions prevues.</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11: Informations toxicologiques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11.1 - Informations sur les effets toxicologiques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aiguë</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 Mélange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oral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(rabbit)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bl>
                          <w:tbl>
                            <w:tblPr>
                              <w:tblLayout w:type="fixed"/>
                              <w:tblInd w:w="0" w:type="dxa"/>
                              <w:tblCellMar>
                                <w:left w:w="0" w:type="dxa"/>
                                <w:right w:w="0" w:type="dxa"/>
                              </w:tblCellMar>
                            </w:tblPr>
                            <w:tblGrid>
                              <w:gridCol w:w="2836"/>
                              <w:gridCol w:w="2268"/>
                              <w:gridCol w:w="2268"/>
                              <w:gridCol w:w="2778"/>
                            </w:tblGrid>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dusts and mists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vapours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Compte tenu des données disponibles, les critères de classification ne sont pas remplis.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Corrosion cutanée/irritation  cutanée</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Irritant pour la peau.</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Lésions oculaires  graves/irritation oculaire</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Irritant pour les yeux.</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Sensibilisation respiratoire ou  cutanée</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Sensibilisation cutanée - Catégorie 1 - Peut provoquer une allergie cutanée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Peut entraîner une sensibilisation par contact avec la peau.</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Peut provoquer une allergie cutanée.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Mutagénicité sur les cellules  germinales</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Cancerogénité</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pour la reproduction</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84"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spécifique pour  certains organes cibles —  exposition unique</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84"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spécifique pour  certains organes cibles –  exposition répétée</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Danger par aspiration</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11.2 - Informations sur les autres dangers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12: Informations écologiques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12.1 - Toxicité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 Mélange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EC50 48 hr crustacea</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96 hr fish</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algae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other aquatic plants</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fish</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crustacea</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algae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other aquatic plants</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bl>
                          <w:tbl>
                            <w:tblPr>
                              <w:tblLayout w:type="fixed"/>
                              <w:tblInd w:w="0" w:type="dxa"/>
                              <w:tblCellMar>
                                <w:left w:w="0" w:type="dxa"/>
                                <w:right w:w="0" w:type="dxa"/>
                              </w:tblCellMar>
                            </w:tblPr>
                            <w:tblGrid>
                              <w:gridCol w:w="4536"/>
                              <w:gridCol w:w="568"/>
                              <w:gridCol w:w="5046"/>
                            </w:tblGrid>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Très toxique pour les organismes aquatiques, entraîne des effets néfastes à long terme.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12.2 - Persistance et dégradabilité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Demande biochimique en oxygène (DBO)</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Demande chimique en oxygène (DCO)</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de biodégradation en 28 jours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12.3 - Potentiel de bioaccumulation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Facteur de bioconcentration (FBC)</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KOW</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indication relative à un potentiel de bioaccumulation.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12.4 - Mobilité dans le sol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12.5 - Résultats des évaluations PBT et vPvB</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12.6 - Propriétés perturbant le système endocrinien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12.7 - Autres effets nocifs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13: Considérations relatives à l'élimination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13.1 - Méthodes de traitement des déchets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de traitement des déchets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L'élimination doit se faire selon les prescriptions des autorités locales.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Evacuation des eaux</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Précautions particulières à prendre</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Disposition Communautaire ou Nationale ou  Régionale</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14: Informations relatives au transport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14.1 - Numéro ONU</w:t>
                                  </w: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Non applicable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14.2 - Nom d’expédition des Nations unies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14.3 - Classe(s) de danger pour le transport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14.4 - Groupe d'emballage</w:t>
                                  </w:r>
                                </w:p>
                              </w:tc>
                            </w:tr>
                          </w:tbl>
                          <w:tbl>
                            <w:tblPr>
                              <w:tblLayout w:type="fixed"/>
                              <w:tblInd w:w="0" w:type="dxa"/>
                              <w:tblCellMar>
                                <w:left w:w="0" w:type="dxa"/>
                                <w:right w:w="0" w:type="dxa"/>
                              </w:tblCellMar>
                            </w:tblPr>
                            <w:tblGrid>
                              <w:gridCol w:w="964"/>
                              <w:gridCol w:w="738"/>
                              <w:gridCol w:w="510"/>
                              <w:gridCol w:w="624"/>
                              <w:gridCol w:w="568"/>
                              <w:gridCol w:w="1078"/>
                              <w:gridCol w:w="5670"/>
                            </w:tblGrid>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14.5 - Dangers pour l’environnement</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14.6 - Précautions particulières à prendre par l’utilisateur</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14.7 - Transport en vrac conformément à l’annexe II de la convention Marpol 73/78 et au recueil IBC</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applicable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15: Informations réglementaires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504"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15.1 - Réglementations/législation particulières à la substance ou au mélange en matière de sécurité, de santé et d’environnement</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REACH  candidates</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XIV</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XVII</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Teneur en COV</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Parfums : 5% ou plus, mais moins de 15%</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15.2 - Évaluation de la sécurité chimique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3398"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Evaluation de la sécurité chimique  effectuée pour le produit</w:t>
                                  </w:r>
                                </w:p>
                              </w:tc>
                              <w:tc>
                                <w:tcPr>
                                  <w:tcW w:w="674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16: Autres informations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Versions de la FDS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46" w:hRule="atLeast"/>
                              </w:trPr>
                              <w:tc>
                                <w:tcPr>
                                  <w:tcW w:w="958" w:type="dxa"/>
                                  <w:tcBorders>
                                    <w:top w:val="single" w:color="666666" w:sz="4"/>
                                    <w:left w:val="single" w:color="666666" w:sz="4"/>
                                    <w:bottom w:val="single" w:color="666666" w:sz="4"/>
                                    <w:right w:val="single" w:color="666666" w:sz="4"/>
                                  </w:tcBorders>
                                  <w:shd w:val="clear" w:color="auto" w:fill="CCCCCC"/>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Version</w:t>
                                  </w:r>
                                </w:p>
                              </w:tc>
                              <w:tc>
                                <w:tcPr>
                                  <w:tcW w:w="1242" w:type="dxa"/>
                                  <w:gridSpan w:val="2"/>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Date d'émission</w:t>
                                  </w:r>
                                </w:p>
                              </w:tc>
                              <w:tc>
                                <w:tcPr>
                                  <w:tcW w:w="2264" w:type="dxa"/>
                                  <w:gridSpan w:val="3"/>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Auteur</w:t>
                                  </w:r>
                                </w:p>
                              </w:tc>
                              <w:tc>
                                <w:tcPr>
                                  <w:tcW w:w="5666" w:type="dxa"/>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Description des modifications</w:t>
                                  </w:r>
                                </w:p>
                              </w:tc>
                            </w:tr>
                            <w:tr>
                              <w:trPr>
                                <w:trHeight w:val="229" w:hRule="atLeast"/>
                              </w:trPr>
                              <w:tc>
                                <w:tcPr>
                                  <w:tcW w:w="958"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1</w:t>
                                  </w:r>
                                </w:p>
                              </w:tc>
                              <w:tc>
                                <w:tcPr>
                                  <w:tcW w:w="1242" w:type="dxa"/>
                                  <w:gridSpan w:val="2"/>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22/03/2021</w:t>
                                  </w:r>
                                </w:p>
                              </w:tc>
                              <w:tc>
                                <w:tcPr>
                                  <w:tcW w:w="226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5666"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Textes des phrases réglementaires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Acute 1</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Acute 1</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1</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1</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Asp. Tox. 1</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par aspiration - Catégorie 1</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Flam. Liq. 3</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Liquide et vapeurs inflammables. - Catégorie 3</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H317</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Peut provoquer une allergie cutanée</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Irrit. 2</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Irritation cutanée - Catégorie 2</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Sensibilisation cutanée - Catégorie 1</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1B</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Sensibilisation cutanée - Catégorie 1B</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596"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Les renseignements contenus dans cette fiche sont basés sur l’état de nos connaissances relatives au produit concerné, à la date indiquée. Le but de cette Fiche de Données de Sécurité est de fournir des informations à l’utilisateur, pour lui permettre d’évaluer les risques pour la sécurité et la santé lors du transport, du stockage ou de l’utilisation du produit sur le lieu de travail. L’attention des utilisateurs est en outre attirée sur les risques éventuels encourus lorsqu’un produit est utilisé à d’autres usages que celui pour lequel il est conçu.</w:t>
                                  </w:r>
                                </w:p>
                                <w:p>
                                  <w:pPr>
                                    <w:spacing w:before="0" w:after="0" w:line="220" w:lineRule="exact"/>
                                    <w:jc w:val="left"/>
                                  </w:pPr>
                                  <w:r>
                                    <w:rPr>
                                      <w:rFonts w:ascii="Arial" w:hAnsi="Arial" w:cs="Arial"/>
                                      <w:b w:val="false"/>
                                      <w:i w:val="false"/>
                                      <w:strike w:val="false"/>
                                      <w:color w:val="000000"/>
                                      <w:spacing w:val="0"/>
                                      <w:sz w:val="20"/>
                                      <w:u w:val="none"/>
                                    </w:rPr>
                                    <w:t xml:space="preserve"> </w:t>
                                  </w:r>
                                </w:p>
                                <w:p>
                                  <w:pPr>
                                    <w:spacing w:before="0" w:after="0" w:line="220" w:lineRule="exact"/>
                                    <w:jc w:val="left"/>
                                  </w:pPr>
                                  <w:r>
                                    <w:rPr>
                                      <w:rFonts w:ascii="Arial" w:hAnsi="Arial" w:cs="Arial"/>
                                      <w:b w:val="false"/>
                                      <w:i w:val="false"/>
                                      <w:strike w:val="false"/>
                                      <w:color w:val="000000"/>
                                      <w:spacing w:val="0"/>
                                      <w:sz w:val="20"/>
                                      <w:u w:val="none"/>
                                    </w:rPr>
                                    <w:t xml:space="preserve">Document généré informatiquement, valable sans signature.</w:t>
                                  </w:r>
                                </w:p>
                              </w:tc>
                            </w:tr>
                          </w:tbl>
                          <w:tbl>
                            <w:tblPr>
                              <w:tblLayout w:type="fixed"/>
                              <w:tblInd w:w="0" w:type="dxa"/>
                              <w:tblCellMar>
                                <w:left w:w="0" w:type="dxa"/>
                                <w:right w:w="0" w:type="dxa"/>
                              </w:tblCellMar>
                            </w:tblPr>
                            <w:tblGrid>
                              <w:gridCol w:w="10150"/>
                            </w:tblGrid>
                            <w:tr>
                              <w:trPr>
                                <w:trHeight w:val="280" w:hRule="atLeast"/>
                              </w:trPr>
                              <w:tc>
                                <w:tcPr>
                                  <w:tcW w:w="1014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60" w:lineRule="exact"/>
                                    <w:jc w:val="center"/>
                                  </w:pPr>
                                  <w:r>
                                    <w:rPr>
                                      <w:rFonts w:ascii="Arial" w:hAnsi="Arial" w:cs="Arial"/>
                                      <w:b w:val="true"/>
                                      <w:i w:val="false"/>
                                      <w:strike w:val="false"/>
                                      <w:color w:val="000000"/>
                                      <w:spacing w:val="0"/>
                                      <w:sz w:val="24"/>
                                      <w:u w:val="none"/>
                                    </w:rPr>
                                    <w:t xml:space="preserve">*** *** ***</w:t>
                                  </w:r>
                                </w:p>
                              </w:tc>
                            </w:tr>
                          </w:tbl>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733" name="Rectangle 1733"/>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1/9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734" name="Rectangle 1734"/>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22/03/2021 -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735" name="Rectangle 1735"/>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MENTHE CHLOROPHYLE 1406073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736" name="Rectangle 1736"/>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737" name="Rectangle 1737"/>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73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6">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739" name="Rectangle 1739"/>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740" name="Rectangle 1740"/>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741" name="Rectangle 1741"/>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742" name="Rectangle 1742"/>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58446"/>
                <wp:effectExtent l="0" t="0" r="0" b="0"/>
                <wp:wrapNone/>
                <wp:docPr id="1743" name="Rectangle 1743"/>
                <wp:cNvGraphicFramePr/>
                <a:graphic xmlns:a="http://schemas.openxmlformats.org/drawingml/2006/main">
                  <a:graphicData uri="http://schemas.microsoft.com/office/word/2010/wordprocessingShape">
                    <wps:wsp>
                      <wps:cNvSpPr/>
                      <wps:spPr bwMode="auto">
                        <a:xfrm>
                          <a:off x="541800" y="1205640"/>
                          <a:ext cx="6508440" cy="8258446"/>
                        </a:xfrm>
                        <a:prstGeom prst="rect">
                          <a:avLst/>
                        </a:prstGeom>
                        <a:ln w="0" cap="sq" cmpd="sng">
                          <a:noFill/>
                          <a:miter lim="800000"/>
                        </a:ln>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744" name="Rectangle 1744"/>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2/9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745" name="Rectangle 1745"/>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22/03/2021 -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746" name="Rectangle 1746"/>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MENTHE CHLOROPHYLE 1406073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747" name="Rectangle 1747"/>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748" name="Rectangle 1748"/>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74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7">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750" name="Rectangle 1750"/>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751" name="Rectangle 1751"/>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752" name="Rectangle 1752"/>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753" name="Rectangle 1753"/>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82080"/>
                <wp:effectExtent l="0" t="0" r="0" b="0"/>
                <wp:wrapNone/>
                <wp:docPr id="1754" name="Rectangle 1754"/>
                <wp:cNvGraphicFramePr/>
                <a:graphic xmlns:a="http://schemas.openxmlformats.org/drawingml/2006/main">
                  <a:graphicData uri="http://schemas.microsoft.com/office/word/2010/wordprocessingShape">
                    <wps:wsp>
                      <wps:cNvSpPr/>
                      <wps:spPr bwMode="auto">
                        <a:xfrm>
                          <a:off x="541800" y="1205640"/>
                          <a:ext cx="6508440" cy="8282080"/>
                        </a:xfrm>
                        <a:prstGeom prst="rect">
                          <a:avLst/>
                        </a:prstGeom>
                        <a:ln w="0" cap="sq" cmpd="sng">
                          <a:noFill/>
                          <a:miter lim="800000"/>
                        </a:ln>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755" name="Rectangle 1755"/>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3/9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756" name="Rectangle 1756"/>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22/03/2021 -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757" name="Rectangle 1757"/>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MENTHE CHLOROPHYLE 1406073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758" name="Rectangle 1758"/>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759" name="Rectangle 1759"/>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76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8">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761" name="Rectangle 1761"/>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762" name="Rectangle 1762"/>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763" name="Rectangle 1763"/>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764" name="Rectangle 1764"/>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67164"/>
                <wp:effectExtent l="0" t="0" r="0" b="0"/>
                <wp:wrapNone/>
                <wp:docPr id="1765" name="Rectangle 1765"/>
                <wp:cNvGraphicFramePr/>
                <a:graphic xmlns:a="http://schemas.openxmlformats.org/drawingml/2006/main">
                  <a:graphicData uri="http://schemas.microsoft.com/office/word/2010/wordprocessingShape">
                    <wps:wsp>
                      <wps:cNvSpPr/>
                      <wps:spPr bwMode="auto">
                        <a:xfrm>
                          <a:off x="541800" y="1205640"/>
                          <a:ext cx="6508440" cy="8367164"/>
                        </a:xfrm>
                        <a:prstGeom prst="rect">
                          <a:avLst/>
                        </a:prstGeom>
                        <a:ln w="0" cap="sq" cmpd="sng">
                          <a:noFill/>
                          <a:miter lim="800000"/>
                        </a:ln>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766" name="Rectangle 1766"/>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4/9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767" name="Rectangle 1767"/>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22/03/2021 -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768" name="Rectangle 1768"/>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MENTHE CHLOROPHYLE 1406073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769" name="Rectangle 1769"/>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770" name="Rectangle 1770"/>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77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9">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772" name="Rectangle 1772"/>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773" name="Rectangle 1773"/>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774" name="Rectangle 1774"/>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775" name="Rectangle 1775"/>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95524"/>
                <wp:effectExtent l="0" t="0" r="0" b="0"/>
                <wp:wrapNone/>
                <wp:docPr id="1776" name="Rectangle 1776"/>
                <wp:cNvGraphicFramePr/>
                <a:graphic xmlns:a="http://schemas.openxmlformats.org/drawingml/2006/main">
                  <a:graphicData uri="http://schemas.microsoft.com/office/word/2010/wordprocessingShape">
                    <wps:wsp>
                      <wps:cNvSpPr/>
                      <wps:spPr bwMode="auto">
                        <a:xfrm>
                          <a:off x="541800" y="1205640"/>
                          <a:ext cx="6508440" cy="8395524"/>
                        </a:xfrm>
                        <a:prstGeom prst="rect">
                          <a:avLst/>
                        </a:prstGeom>
                        <a:ln w="0" cap="sq" cmpd="sng">
                          <a:noFill/>
                          <a:miter lim="800000"/>
                        </a:ln>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777" name="Rectangle 1777"/>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5/9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778" name="Rectangle 1778"/>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22/03/2021 -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779" name="Rectangle 1779"/>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MENTHE CHLOROPHYLE 1406073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780" name="Rectangle 1780"/>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781" name="Rectangle 1781"/>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78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0">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783" name="Rectangle 1783"/>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784" name="Rectangle 1784"/>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785" name="Rectangle 1785"/>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786" name="Rectangle 1786"/>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46074"/>
                <wp:effectExtent l="0" t="0" r="0" b="0"/>
                <wp:wrapNone/>
                <wp:docPr id="1787" name="Rectangle 1787"/>
                <wp:cNvGraphicFramePr/>
                <a:graphic xmlns:a="http://schemas.openxmlformats.org/drawingml/2006/main">
                  <a:graphicData uri="http://schemas.microsoft.com/office/word/2010/wordprocessingShape">
                    <wps:wsp>
                      <wps:cNvSpPr/>
                      <wps:spPr bwMode="auto">
                        <a:xfrm>
                          <a:off x="541800" y="1205640"/>
                          <a:ext cx="6508440" cy="8346074"/>
                        </a:xfrm>
                        <a:prstGeom prst="rect">
                          <a:avLst/>
                        </a:prstGeom>
                        <a:ln w="0" cap="sq" cmpd="sng">
                          <a:noFill/>
                          <a:miter lim="800000"/>
                        </a:ln>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788" name="Rectangle 1788"/>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6/9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789" name="Rectangle 1789"/>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22/03/2021 -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790" name="Rectangle 1790"/>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MENTHE CHLOROPHYLE 1406073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791" name="Rectangle 1791"/>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792" name="Rectangle 1792"/>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79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1">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794" name="Rectangle 1794"/>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795" name="Rectangle 1795"/>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796" name="Rectangle 1796"/>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797" name="Rectangle 1797"/>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09714"/>
                <wp:effectExtent l="0" t="0" r="0" b="0"/>
                <wp:wrapNone/>
                <wp:docPr id="1798" name="Rectangle 1798"/>
                <wp:cNvGraphicFramePr/>
                <a:graphic xmlns:a="http://schemas.openxmlformats.org/drawingml/2006/main">
                  <a:graphicData uri="http://schemas.microsoft.com/office/word/2010/wordprocessingShape">
                    <wps:wsp>
                      <wps:cNvSpPr/>
                      <wps:spPr bwMode="auto">
                        <a:xfrm>
                          <a:off x="541800" y="1205640"/>
                          <a:ext cx="6508440" cy="8309714"/>
                        </a:xfrm>
                        <a:prstGeom prst="rect">
                          <a:avLst/>
                        </a:prstGeom>
                        <a:ln w="0" cap="sq" cmpd="sng">
                          <a:noFill/>
                          <a:miter lim="800000"/>
                        </a:ln>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799" name="Rectangle 1799"/>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7/9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800" name="Rectangle 1800"/>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22/03/2021 -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801" name="Rectangle 1801"/>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MENTHE CHLOROPHYLE 1406073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802" name="Rectangle 1802"/>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803" name="Rectangle 1803"/>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80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2">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805" name="Rectangle 1805"/>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806" name="Rectangle 1806"/>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807" name="Rectangle 1807"/>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808" name="Rectangle 1808"/>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50812"/>
                <wp:effectExtent l="0" t="0" r="0" b="0"/>
                <wp:wrapNone/>
                <wp:docPr id="1809" name="Rectangle 1809"/>
                <wp:cNvGraphicFramePr/>
                <a:graphic xmlns:a="http://schemas.openxmlformats.org/drawingml/2006/main">
                  <a:graphicData uri="http://schemas.microsoft.com/office/word/2010/wordprocessingShape">
                    <wps:wsp>
                      <wps:cNvSpPr/>
                      <wps:spPr bwMode="auto">
                        <a:xfrm>
                          <a:off x="541800" y="1205640"/>
                          <a:ext cx="6508440" cy="8250812"/>
                        </a:xfrm>
                        <a:prstGeom prst="rect">
                          <a:avLst/>
                        </a:prstGeom>
                        <a:ln w="0" cap="sq" cmpd="sng">
                          <a:noFill/>
                          <a:miter lim="800000"/>
                        </a:ln>
                      </wps:spPr>
                      <wps:linkedTxbx id="1" seq="7"/>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810" name="Rectangle 1810"/>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8/9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811" name="Rectangle 1811"/>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22/03/2021 -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812" name="Rectangle 1812"/>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MENTHE CHLOROPHYLE 1406073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813" name="Rectangle 1813"/>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814" name="Rectangle 1814"/>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81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3">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816" name="Rectangle 1816"/>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817" name="Rectangle 1817"/>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818" name="Rectangle 1818"/>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819" name="Rectangle 1819"/>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215978"/>
                <wp:effectExtent l="0" t="0" r="0" b="0"/>
                <wp:wrapNone/>
                <wp:docPr id="1820" name="Rectangle 1820"/>
                <wp:cNvGraphicFramePr/>
                <a:graphic xmlns:a="http://schemas.openxmlformats.org/drawingml/2006/main">
                  <a:graphicData uri="http://schemas.microsoft.com/office/word/2010/wordprocessingShape">
                    <wps:wsp>
                      <wps:cNvSpPr/>
                      <wps:spPr bwMode="auto">
                        <a:xfrm>
                          <a:off x="541800" y="1205640"/>
                          <a:ext cx="6508440" cy="215978"/>
                        </a:xfrm>
                        <a:prstGeom prst="rect">
                          <a:avLst/>
                        </a:prstGeom>
                        <a:ln w="0" cap="sq" cmpd="sng">
                          <a:noFill/>
                          <a:miter lim="800000"/>
                        </a:ln>
                      </wps:spPr>
                      <wps:linkedTxbx id="1" seq="8"/>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821" name="Rectangle 1821"/>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9/9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822" name="Rectangle 1822"/>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22/03/2021 -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823" name="Rectangle 1823"/>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MENTHE CHLOROPHYLE 1406073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824" name="Rectangle 1824"/>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825" name="Rectangle 1825"/>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82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4">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827" name="Rectangle 1827"/>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828" name="Rectangle 1828"/>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829" name="Rectangle 1829"/>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830" name="Rectangle 1830"/>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p>
    <w:sectPr>
      <w:pgSz w:w="11904" w:h="16836" w:orient="portrait"/>
      <w:pgMar w:top="0" w:right="0" w:bottom="0" w:left="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3EA"/>
    <w:rsid w:val="00124B35"/>
    <w:rsid w:val="006C6556"/>
    <w:rsid w:val="00931FC8"/>
    <w:rsid w:val="00B003A3"/>
    <w:rsid w:val="00C173EA"/>
    <w:rsid w:val="00D362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8DB4A-2A23-44F0-A0D6-1A0CF234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de-DE" w:eastAsia="de-DE"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pPr>
      <w:spacing w:after="160" w:line="259" w:lineRule="auto"/>
    </w:pPr>
    <w:rPr>
      <w:sz w:val="22"/>
      <w:szCs w:val="22"/>
      <w:lang w:eastAsia="en-US"/>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921" Type="http://schemas.openxmlformats.org/officeDocument/2006/relationships/image" Target="/media/image7.jpg"/><Relationship Id="rId926" Type="http://schemas.openxmlformats.org/officeDocument/2006/relationships/customXml" Target="../customXml/item2.xml"/><Relationship Id="rId3" Type="http://schemas.openxmlformats.org/officeDocument/2006/relationships/webSettings" Target="/word/webSettings.xml"/><Relationship Id="rId917" Type="http://schemas.openxmlformats.org/officeDocument/2006/relationships/image" Target="/media/image3.jpg"/><Relationship Id="rId925" Type="http://schemas.openxmlformats.org/officeDocument/2006/relationships/customXml" Target="../customXml/item1.xml"/><Relationship Id="rId920" Type="http://schemas.openxmlformats.org/officeDocument/2006/relationships/image" Target="/media/image6.jpg"/><Relationship Id="rId2" Type="http://schemas.openxmlformats.org/officeDocument/2006/relationships/settings" Target="/word/settings.xml"/><Relationship Id="rId916" Type="http://schemas.openxmlformats.org/officeDocument/2006/relationships/image" Target="/media/image2.jpg"/><Relationship Id="rId924" Type="http://schemas.openxmlformats.org/officeDocument/2006/relationships/image" Target="/media/image10.jpg"/><Relationship Id="rId1" Type="http://schemas.openxmlformats.org/officeDocument/2006/relationships/styles" Target="/word/styles.xml"/><Relationship Id="rId915" Type="http://schemas.openxmlformats.org/officeDocument/2006/relationships/image" Target="/media/image.jpg"/><Relationship Id="rId5" Type="http://schemas.openxmlformats.org/officeDocument/2006/relationships/theme" Target="/word/theme/theme1.xml"/><Relationship Id="rId923" Type="http://schemas.openxmlformats.org/officeDocument/2006/relationships/image" Target="/media/image9.jpg"/><Relationship Id="rId919" Type="http://schemas.openxmlformats.org/officeDocument/2006/relationships/image" Target="/media/image5.jpg"/><Relationship Id="rId922" Type="http://schemas.openxmlformats.org/officeDocument/2006/relationships/image" Target="/media/image8.jpg"/><Relationship Id="rId927" Type="http://schemas.openxmlformats.org/officeDocument/2006/relationships/customXml" Target="../customXml/item3.xml"/><Relationship Id="rId4" Type="http://schemas.openxmlformats.org/officeDocument/2006/relationships/fontTable" Target="/word/fontTable.xml"/><Relationship Id="rId918" Type="http://schemas.openxmlformats.org/officeDocument/2006/relationships/image" Target="/media/image4.jpg"/></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B6EA377827AE4FB43A326620142D7E" ma:contentTypeVersion="14" ma:contentTypeDescription="Crée un document." ma:contentTypeScope="" ma:versionID="33793bb466a6c1deefa5947bd1b4a4be">
  <xsd:schema xmlns:xsd="http://www.w3.org/2001/XMLSchema" xmlns:xs="http://www.w3.org/2001/XMLSchema" xmlns:p="http://schemas.microsoft.com/office/2006/metadata/properties" xmlns:ns2="9032f83e-b9f5-4146-90e6-3500e3398806" xmlns:ns3="76ecad74-da29-4638-b8ec-b18309145f3d" targetNamespace="http://schemas.microsoft.com/office/2006/metadata/properties" ma:root="true" ma:fieldsID="ee0af257591274c7754616de1065c63b" ns2:_="" ns3:_="">
    <xsd:import namespace="9032f83e-b9f5-4146-90e6-3500e3398806"/>
    <xsd:import namespace="76ecad74-da29-4638-b8ec-b18309145f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obs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2f83e-b9f5-4146-90e6-3500e339880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ecad74-da29-4638-b8ec-b18309145f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bsr" ma:index="20" nillable="true" ma:displayName="obsr" ma:internalName="obs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bsr xmlns="76ecad74-da29-4638-b8ec-b18309145f3d" xsi:nil="true"/>
  </documentManagement>
</p:properties>
</file>

<file path=customXml/itemProps1.xml><?xml version="1.0" encoding="utf-8"?>
<ds:datastoreItem xmlns:ds="http://schemas.openxmlformats.org/officeDocument/2006/customXml" ds:itemID="{2172B939-F515-4C54-968D-E1DA47377A5A}"/>
</file>

<file path=customXml/itemProps2.xml><?xml version="1.0" encoding="utf-8"?>
<ds:datastoreItem xmlns:ds="http://schemas.openxmlformats.org/officeDocument/2006/customXml" ds:itemID="{9C1BD0DC-BAA2-4EDC-9811-808675ACACDC}"/>
</file>

<file path=customXml/itemProps3.xml><?xml version="1.0" encoding="utf-8"?>
<ds:datastoreItem xmlns:ds="http://schemas.openxmlformats.org/officeDocument/2006/customXml" ds:itemID="{D2996882-99F7-4DDF-A2E8-E9A2DCB3E241}"/>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0x010100ECB6EA377827AE4FB43A326620142D7E</vt:lpwstr>
  </property>
</Properties>
</file>