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e293dbe466794d6b"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2254"/>
                <wp:effectExtent l="0" t="0" r="0" b="0"/>
                <wp:wrapNone/>
                <wp:docPr id="2096" name="Rectangle 2096"/>
                <wp:cNvGraphicFramePr/>
                <a:graphic xmlns:a="http://schemas.openxmlformats.org/drawingml/2006/main">
                  <a:graphicData uri="http://schemas.microsoft.com/office/word/2010/wordprocessingShape">
                    <wps:wsp>
                      <wps:cNvSpPr/>
                      <wps:spPr bwMode="auto">
                        <a:xfrm>
                          <a:off x="541800" y="1205640"/>
                          <a:ext cx="6508440" cy="837225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568"/>
                              <w:gridCol w:w="2608"/>
                              <w:gridCol w:w="4480"/>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MENTHE ET EUCALYPTUS 1913259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3"/>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3"/>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3"/>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3"/>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eucalyptol (470-82-6) | d-limonene (r)-p-mentha-1,8-diene (5989-27-5) | d-p-mentha-1(6),8-dien-2-one (carvone) (99-49-0) | p-menthan-3-one (menthone) (10458-14-7) . Peut produire une réaction allergique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eucalyptol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470-82-6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207-431-5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0,326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p-menthan-3-one (menthone)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10458-14-7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233-944-9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0,194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d-p-mentha-1(6),8-dien-2-one (carvone)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99-49-0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202-759-5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0,131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aucunes mesures particulières ne sont exigées.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 laver immédiatement avec: Eau</w:t>
                                  </w: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doute ou s'il y a des symptômes, demander un conseil médical.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Porter un appareil respiratoire autonome et une combinaison de protection contre les substances chimiques.</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Si possible sans risque, éloigner les récipients en bon état de la zone dangereuse.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Eloigner toute source d'ignition.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la formation de poussière.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abondamment avec de l'eau.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Il est recommandé de concevoir les méthodes de travail de manière à exclure les risques suivants: Génération/dégagement de poussière</w:t>
                                  </w:r>
                                </w:p>
                              </w:tc>
                            </w:tr>
                            <w:tr>
                              <w:trPr>
                                <w:trHeight w:val="684"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Il est recommandé de concevoir les méthodes de travail de manière à exclure les risques suivants: génération/formation d'aérosols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fumer pendant l'utilisation.</w:t>
                                  </w:r>
                                </w:p>
                              </w:tc>
                            </w:tr>
                            <w:tr>
                              <w:trPr>
                                <w:trHeight w:val="684"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des installations, appareillages, dispositifs d'aspiration, outillage, etc équipés d'une protection antidéflagrante.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seulement dans des zones bien ventilées.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Classe de stockage Solides inflammables</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Conserver le récipient bien fermé et dans un endroit bien ventilé.</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stocker ensemble avec: Matériau combustible</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 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du corps appropriée: 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21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8">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chimiquement stable si les conditions de stockage, d'utilisation et les températures préconisées sont respectées.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d'échauffement: Risque d'inflammation</w:t>
                                  </w: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d'une fine répartition/pulvérisation/nébulisation: Risque d'un coup de poussière.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La substance/le mélange ne satisfont pas aux critères de toxicité aiguë pour le milieu aquatique selon l'annexe I du règlement (CE) N° 1272/2008 [CLP].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097" name="Rectangle 209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098" name="Rectangle 209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099" name="Rectangle 209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EUCALYPTUS 1913259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00" name="Rectangle 210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01" name="Rectangle 210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03" name="Rectangle 210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04" name="Rectangle 210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05" name="Rectangle 210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06" name="Rectangle 210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3712"/>
                <wp:effectExtent l="0" t="0" r="0" b="0"/>
                <wp:wrapNone/>
                <wp:docPr id="2107" name="Rectangle 2107"/>
                <wp:cNvGraphicFramePr/>
                <a:graphic xmlns:a="http://schemas.openxmlformats.org/drawingml/2006/main">
                  <a:graphicData uri="http://schemas.microsoft.com/office/word/2010/wordprocessingShape">
                    <wps:wsp>
                      <wps:cNvSpPr/>
                      <wps:spPr bwMode="auto">
                        <a:xfrm>
                          <a:off x="541800" y="1205640"/>
                          <a:ext cx="6508440" cy="833371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08" name="Rectangle 210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09" name="Rectangle 210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10" name="Rectangle 211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EUCALYPTUS 1913259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11" name="Rectangle 211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12" name="Rectangle 211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14" name="Rectangle 211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15" name="Rectangle 211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16" name="Rectangle 211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17" name="Rectangle 211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5348"/>
                <wp:effectExtent l="0" t="0" r="0" b="0"/>
                <wp:wrapNone/>
                <wp:docPr id="2118" name="Rectangle 2118"/>
                <wp:cNvGraphicFramePr/>
                <a:graphic xmlns:a="http://schemas.openxmlformats.org/drawingml/2006/main">
                  <a:graphicData uri="http://schemas.microsoft.com/office/word/2010/wordprocessingShape">
                    <wps:wsp>
                      <wps:cNvSpPr/>
                      <wps:spPr bwMode="auto">
                        <a:xfrm>
                          <a:off x="541800" y="1205640"/>
                          <a:ext cx="6508440" cy="834534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19" name="Rectangle 211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20" name="Rectangle 212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21" name="Rectangle 212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EUCALYPTUS 1913259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22" name="Rectangle 212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23" name="Rectangle 212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25" name="Rectangle 212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26" name="Rectangle 212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27" name="Rectangle 212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28" name="Rectangle 212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6070"/>
                <wp:effectExtent l="0" t="0" r="0" b="0"/>
                <wp:wrapNone/>
                <wp:docPr id="2129" name="Rectangle 2129"/>
                <wp:cNvGraphicFramePr/>
                <a:graphic xmlns:a="http://schemas.openxmlformats.org/drawingml/2006/main">
                  <a:graphicData uri="http://schemas.microsoft.com/office/word/2010/wordprocessingShape">
                    <wps:wsp>
                      <wps:cNvSpPr/>
                      <wps:spPr bwMode="auto">
                        <a:xfrm>
                          <a:off x="541800" y="1205640"/>
                          <a:ext cx="6508440" cy="838607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31" name="Rectangle 213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32" name="Rectangle 213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33" name="Rectangle 213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EUCALYPTUS 1913259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34" name="Rectangle 213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35" name="Rectangle 213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3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37" name="Rectangle 213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38" name="Rectangle 213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39" name="Rectangle 213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40" name="Rectangle 214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9164"/>
                <wp:effectExtent l="0" t="0" r="0" b="0"/>
                <wp:wrapNone/>
                <wp:docPr id="2141" name="Rectangle 2141"/>
                <wp:cNvGraphicFramePr/>
                <a:graphic xmlns:a="http://schemas.openxmlformats.org/drawingml/2006/main">
                  <a:graphicData uri="http://schemas.microsoft.com/office/word/2010/wordprocessingShape">
                    <wps:wsp>
                      <wps:cNvSpPr/>
                      <wps:spPr bwMode="auto">
                        <a:xfrm>
                          <a:off x="541800" y="1205640"/>
                          <a:ext cx="6508440" cy="835916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42" name="Rectangle 214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43" name="Rectangle 214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44" name="Rectangle 214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EUCALYPTUS 1913259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45" name="Rectangle 214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46" name="Rectangle 214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4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48" name="Rectangle 214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49" name="Rectangle 214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50" name="Rectangle 215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51" name="Rectangle 215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0256"/>
                <wp:effectExtent l="0" t="0" r="0" b="0"/>
                <wp:wrapNone/>
                <wp:docPr id="2152" name="Rectangle 2152"/>
                <wp:cNvGraphicFramePr/>
                <a:graphic xmlns:a="http://schemas.openxmlformats.org/drawingml/2006/main">
                  <a:graphicData uri="http://schemas.microsoft.com/office/word/2010/wordprocessingShape">
                    <wps:wsp>
                      <wps:cNvSpPr/>
                      <wps:spPr bwMode="auto">
                        <a:xfrm>
                          <a:off x="541800" y="1205640"/>
                          <a:ext cx="6508440" cy="834025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53" name="Rectangle 215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54" name="Rectangle 215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55" name="Rectangle 215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EUCALYPTUS 1913259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56" name="Rectangle 215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57" name="Rectangle 215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59" name="Rectangle 215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60" name="Rectangle 216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61" name="Rectangle 216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62" name="Rectangle 216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768678"/>
                <wp:effectExtent l="0" t="0" r="0" b="0"/>
                <wp:wrapNone/>
                <wp:docPr id="2163" name="Rectangle 2163"/>
                <wp:cNvGraphicFramePr/>
                <a:graphic xmlns:a="http://schemas.openxmlformats.org/drawingml/2006/main">
                  <a:graphicData uri="http://schemas.microsoft.com/office/word/2010/wordprocessingShape">
                    <wps:wsp>
                      <wps:cNvSpPr/>
                      <wps:spPr bwMode="auto">
                        <a:xfrm>
                          <a:off x="541800" y="1205640"/>
                          <a:ext cx="6508440" cy="776867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64" name="Rectangle 216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65" name="Rectangle 216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66" name="Rectangle 216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EUCALYPTUS 1913259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67" name="Rectangle 216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68" name="Rectangle 216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6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70" name="Rectangle 217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71" name="Rectangle 217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72" name="Rectangle 217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73" name="Rectangle 217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6117206"/>
                <wp:effectExtent l="0" t="0" r="0" b="0"/>
                <wp:wrapNone/>
                <wp:docPr id="2174" name="Rectangle 2174"/>
                <wp:cNvGraphicFramePr/>
                <a:graphic xmlns:a="http://schemas.openxmlformats.org/drawingml/2006/main">
                  <a:graphicData uri="http://schemas.microsoft.com/office/word/2010/wordprocessingShape">
                    <wps:wsp>
                      <wps:cNvSpPr/>
                      <wps:spPr bwMode="auto">
                        <a:xfrm>
                          <a:off x="541800" y="1205640"/>
                          <a:ext cx="6508440" cy="611720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75" name="Rectangle 217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76" name="Rectangle 217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77" name="Rectangle 217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EUCALYPTUS 1913259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78" name="Rectangle 217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79" name="Rectangle 217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8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81" name="Rectangle 218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82" name="Rectangle 218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83" name="Rectangle 218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84" name="Rectangle 218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35D8C189-BE34-42C0-B774-5612B9EE1189}"/>
</file>

<file path=customXml/itemProps2.xml><?xml version="1.0" encoding="utf-8"?>
<ds:datastoreItem xmlns:ds="http://schemas.openxmlformats.org/officeDocument/2006/customXml" ds:itemID="{2B0E7511-2A49-48D8-95B4-4C0C12778FBE}"/>
</file>

<file path=customXml/itemProps3.xml><?xml version="1.0" encoding="utf-8"?>
<ds:datastoreItem xmlns:ds="http://schemas.openxmlformats.org/officeDocument/2006/customXml" ds:itemID="{DC7DA260-288C-4E58-A710-170FA2111E2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