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jpg" ContentType="image/jpeg"/>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e74ef933de7b480e"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508968"/>
                <wp:effectExtent l="0" t="0" r="0" b="0"/>
                <wp:wrapNone/>
                <wp:docPr id="5093" name="Rectangle 5093"/>
                <wp:cNvGraphicFramePr/>
                <a:graphic xmlns:a="http://schemas.openxmlformats.org/drawingml/2006/main">
                  <a:graphicData uri="http://schemas.microsoft.com/office/word/2010/wordprocessingShape">
                    <wps:wsp>
                      <wps:cNvSpPr/>
                      <wps:spPr bwMode="auto">
                        <a:xfrm>
                          <a:off x="541800" y="1205640"/>
                          <a:ext cx="6508440" cy="8508968"/>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284"/>
                              <w:gridCol w:w="1134"/>
                              <w:gridCol w:w="1134"/>
                              <w:gridCol w:w="100"/>
                              <w:gridCol w:w="1078"/>
                              <w:gridCol w:w="1134"/>
                              <w:gridCol w:w="1134"/>
                              <w:gridCol w:w="1134"/>
                            </w:tblGrid>
                            <w:tr>
                              <w:trPr>
                                <w:trHeight w:val="270" w:hRule="atLeast"/>
                              </w:trPr>
                              <w:tc>
                                <w:tcPr>
                                  <w:tcW w:w="10144" w:type="dxa"/>
                                  <w:gridSpan w:val="12"/>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 Identification de la substance/du mélange et de la société/l’entreprise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Identificateur de produit</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commercial du produit/désignation</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BOUGIE ROMARIN 2033378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chimique</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Type de produit</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Mélange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Utilisations identifiées pertinentes de la substance ou du mélange et utilisations déconseillées</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Utilisations identifiées pertinentes</w:t>
                                  </w:r>
                                </w:p>
                              </w:tc>
                              <w:tc>
                                <w:tcPr>
                                  <w:tcW w:w="4474"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Renseignements concernant le fournisseur de la fiche de données de sécurité</w:t>
                                  </w:r>
                                </w:p>
                              </w:tc>
                            </w:tr>
                            <w:tr>
                              <w:trPr>
                                <w:trHeight w:val="91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Téléphone : 03 89 22 77 65</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Numéro d’appel d’urgence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ORFILA (INRS) + 33 (0)1 45 42 59 59 France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r>
                            <w:tr>
                              <w:trPr>
                                <w:trHeight w:val="284"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1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2: Identification des dangers</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de la substance ou du mélange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selon règlement (CE) N° 1272/2008 [CLP]</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7592" w:type="dxa"/>
                                  <w:gridSpan w:val="9"/>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w:t>
                                  </w: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7592" w:type="dxa"/>
                                  <w:gridSpan w:val="9"/>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3</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Éléments d'étiquetage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étiquetage selon le règlement (CE) N° 1272/2008 [CLP]</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Contient: eucalyptol (CAS No.: 470-82-6)</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 d'avertissement</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Attention</w:t>
                                  </w:r>
                                </w:p>
                              </w:tc>
                            </w:tr>
                            <w:tr>
                              <w:trPr>
                                <w:trHeight w:val="1361" w:hRule="exact"/>
                              </w:trPr>
                              <w:tc>
                                <w:tcPr>
                                  <w:tcW w:w="3340"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Pictogrammes des risques</w:t>
                                  </w:r>
                                </w:p>
                              </w:tc>
                              <w:tc>
                                <w:tcPr>
                                  <w:tcW w:w="113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tcPr>
                                <w:p>
                                  <w:pPr>
                                    <w:rPr>
                                      <w:lang w:val="en-US"/>
                                    </w:rPr>
                                  </w:pPr>
                                  <w:r>
                                    <w:rPr>
                                      <w:sz w:val="2"/>
                                    </w:rPr>
                                    <w:drawing>
                                      <wp:inline distT="0" distB="0" distL="0" distR="0" wp14:anchorId="62EC9BC3" wp14:editId="2A206D38">
                                        <wp:extent cx="648000" cy="864000"/>
                                        <wp:effectExtent l="0" t="0" r="0" b="0"/>
                                        <wp:docPr id="509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15">
                                                  <a:extLst>
                                                    <a:ext uri="{28A0092B-C50C-407E-A947-70E740481C1C}">
                                                      <a14:useLocalDpi xmlns:a14="http://schemas.microsoft.com/office/drawing/2010/main" val="0"/>
                                                    </a:ext>
                                                  </a:extLst>
                                                </a:blip>
                                                <a:stretch>
                                                  <a:fillRect/>
                                                </a:stretch>
                                              </pic:blipFill>
                                              <pic:spPr>
                                                <a:xfrm>
                                                  <a:off x="0" y="0"/>
                                                  <a:ext cx="648000" cy="864000"/>
                                                </a:xfrm>
                                                <a:prstGeom prst="rect">
                                                  <a:avLst/>
                                                </a:prstGeom>
                                              </pic:spPr>
                                            </pic:pic>
                                          </a:graphicData>
                                        </a:graphic>
                                      </wp:inline>
                                    </w:drawing>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Mentions de danger</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H317</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Peut provoquer une allergie cutanée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Nocif pour les organismes aquatiques, entraîne des effets néfastes à long terme.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Conseils de prudence</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consultation d'un médecin, garder à disposition le récipient ou l'étiquette.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Tenir hors de portée des enfants.</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Lire l'étiquette avant utilisation.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P273</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Éviter le rejet dans l'environnement.</w:t>
                                  </w:r>
                                </w:p>
                              </w:tc>
                            </w:tr>
                          </w:tbl>
                          <w:tbl>
                            <w:tblPr>
                              <w:tblLayout w:type="fixed"/>
                              <w:tblInd w:w="0" w:type="dxa"/>
                              <w:tblCellMar>
                                <w:left w:w="0" w:type="dxa"/>
                                <w:right w:w="0" w:type="dxa"/>
                              </w:tblCellMar>
                            </w:tblPr>
                            <w:tblGrid>
                              <w:gridCol w:w="2268"/>
                              <w:gridCol w:w="226"/>
                              <w:gridCol w:w="568"/>
                              <w:gridCol w:w="1474"/>
                              <w:gridCol w:w="1078"/>
                              <w:gridCol w:w="2268"/>
                              <w:gridCol w:w="2268"/>
                            </w:tblGrid>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P302+P352</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CONTACT AVEC LA PEAU: laver abondamment à l'eau et au savon.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P333+P313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d'irritation ou d'éruption cutanée: consulter un médecin.</w:t>
                                  </w:r>
                                </w:p>
                              </w:tc>
                            </w:tr>
                            <w:tr>
                              <w:trPr>
                                <w:trHeight w:val="446"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P501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Éliminer le récipient dans une installation de recyclage ou d'élimination des déchets approuvée.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Phrases EUH</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902"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Contient 1-(1,2,3,4,5,6,7,8-octahydro-2,3,8,8-tetramethyl-2- naphthalenyl)ethanone (54464-57-2) | eucalyptol (470-82-6) | d-limonene (r)-p-mentha-1,8-diene (5989-27-5) | pin-2(3)-ene (alpha-pinene) (80-56-8) | caryophyllene (87-44-5) . Peut produire une réaction allergique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Autres dangers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 PBT.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matière vPvB.</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3: Composition / informations sur les composants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Mélanges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Nom chimique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Concentration spécifiques</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eucalyptol</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470-82-6</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207-431-5</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2,582</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Flam. Liq. 3 - H226</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1-(1,2,3,4,5,6,7,8-octahydro-2, 3,8,8-tetramethyl-2- naphthalenyl)ethanone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54464-57-2</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259-174-3</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0,333</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1248"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pin-2(3)-ene (alpha-pinene)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80-56-8</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201-291-9</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0,202</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Acute Tox. 4 Oral - H302</w:t>
                                  </w:r>
                                </w:p>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Asp. Tox. 1 - H304</w:t>
                                  </w:r>
                                </w:p>
                                <w:p>
                                  <w:pPr>
                                    <w:spacing w:before="0" w:after="0" w:line="180" w:lineRule="exact"/>
                                    <w:jc w:val="left"/>
                                  </w:pPr>
                                  <w:r>
                                    <w:rPr>
                                      <w:rFonts w:ascii="Arial" w:hAnsi="Arial" w:cs="Arial"/>
                                      <w:b w:val="false"/>
                                      <w:i w:val="false"/>
                                      <w:strike w:val="false"/>
                                      <w:color w:val="000000"/>
                                      <w:spacing w:val="0"/>
                                      <w:sz w:val="16"/>
                                      <w:u w:val="none"/>
                                    </w:rPr>
                                    <w:t xml:space="preserve">Flam. Liq. 3 - H226</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 / 1</w:t>
                                  </w:r>
                                </w:p>
                              </w:tc>
                            </w:tr>
                            <w:tr>
                              <w:trPr>
                                <w:trHeight w:val="70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camphene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79-92-5</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201-234-8</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0,177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Flam. Sol. 2 - H228</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 / 1</w:t>
                                  </w:r>
                                </w:p>
                              </w:tc>
                            </w:tr>
                            <w:tr>
                              <w:trPr>
                                <w:trHeight w:val="106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d-limonene (r)-p-mentha-1,8-diene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5989-27-5</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 601-029-00-7</w:t>
                                  </w:r>
                                </w:p>
                                <w:p>
                                  <w:pPr>
                                    <w:spacing w:before="0" w:after="0" w:line="180" w:lineRule="exact"/>
                                    <w:jc w:val="left"/>
                                  </w:pPr>
                                  <w:r>
                                    <w:rPr>
                                      <w:rFonts w:ascii="Arial" w:hAnsi="Arial" w:cs="Arial"/>
                                      <w:b w:val="false"/>
                                      <w:i w:val="false"/>
                                      <w:strike w:val="false"/>
                                      <w:color w:val="000000"/>
                                      <w:spacing w:val="0"/>
                                      <w:sz w:val="16"/>
                                      <w:u w:val="none"/>
                                    </w:rPr>
                                    <w:t xml:space="preserve">N°CE : 227-813-5</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0,142</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Asp. Tox. 1 - H304</w:t>
                                  </w:r>
                                </w:p>
                                <w:p>
                                  <w:pPr>
                                    <w:spacing w:before="0" w:after="0" w:line="180" w:lineRule="exact"/>
                                    <w:jc w:val="left"/>
                                  </w:pPr>
                                  <w:r>
                                    <w:rPr>
                                      <w:rFonts w:ascii="Arial" w:hAnsi="Arial" w:cs="Arial"/>
                                      <w:b w:val="false"/>
                                      <w:i w:val="false"/>
                                      <w:strike w:val="false"/>
                                      <w:color w:val="000000"/>
                                      <w:spacing w:val="0"/>
                                      <w:sz w:val="16"/>
                                      <w:u w:val="none"/>
                                    </w:rPr>
                                    <w:t xml:space="preserve">Flam. Liq. 3 - H226</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caryophyllene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87-44-5</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201-746-1</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0,115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4 - H413</w:t>
                                  </w:r>
                                </w:p>
                                <w:p>
                                  <w:pPr>
                                    <w:spacing w:before="0" w:after="0" w:line="180" w:lineRule="exact"/>
                                    <w:jc w:val="left"/>
                                  </w:pPr>
                                  <w:r>
                                    <w:rPr>
                                      <w:rFonts w:ascii="Arial" w:hAnsi="Arial" w:cs="Arial"/>
                                      <w:b w:val="false"/>
                                      <w:i w:val="false"/>
                                      <w:strike w:val="false"/>
                                      <w:color w:val="000000"/>
                                      <w:spacing w:val="0"/>
                                      <w:sz w:val="16"/>
                                      <w:u w:val="none"/>
                                    </w:rPr>
                                    <w:t xml:space="preserve">Asp. Tox. 1 - H304</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4: Premiers secours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des premiers secours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Veiller à un apport d'air frais.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Après contact avec la peau, se laver immédiatement et abondamment avec eau et savon.</w:t>
                                  </w:r>
                                </w:p>
                              </w:tc>
                            </w:tr>
                          </w:tbl>
                          <w:tbl>
                            <w:tblPr>
                              <w:tblLayout w:type="fixed"/>
                              <w:tblInd w:w="0" w:type="dxa"/>
                              <w:tblCellMar>
                                <w:left w:w="0" w:type="dxa"/>
                                <w:right w:w="0" w:type="dxa"/>
                              </w:tblCellMar>
                            </w:tblPr>
                            <w:tblGrid>
                              <w:gridCol w:w="4536"/>
                              <w:gridCol w:w="5614"/>
                            </w:tblGrid>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de réactions cutanées, consulter un médecin.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les yeux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soigneusement et abondamment avec une douche oculaire ou de l'eau.</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d'irritation oculaire, consulter un ophtalmologue.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d'ingestion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la bouche abondamment à l'eau.</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faire vomir.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Principaux symptômes et effets, aigus et différés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d'inhalation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la  peau</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cutanée.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les  yeux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des yeux.</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d'ingestion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des éventuels soins médicaux immédiats et traitements particuliers nécessaires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5: Mesures de lutte contre l'incendie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Moyen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ABC-poudre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Dioxyde de carbone (CO2)</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Mousse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Poudre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inappropriés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Jet d'eau à grand débit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Dangers particuliers résultant de la substance ou du mélange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Dangers particuliers résultant de la substance ou du mélange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Produits de décomposition dangereux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Conseils aux pompiers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Adapter les mesures d'extinction au milieu environnant</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6: Mesures à prendre en cas de dispersion accidentelle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Précautions individuelles, équipement de protection et procédures d’urgence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non-secouristes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Précautions pour la protection de l’environnement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laisser s'écouler dans les canalisations ni dans les eaux courantes.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Méthodes et matériel de confinement et de nettoyage</w:t>
                                  </w:r>
                                </w:p>
                              </w:tc>
                            </w:tr>
                          </w:tbl>
                          <w:tbl>
                            <w:tblPr>
                              <w:tblLayout w:type="fixed"/>
                              <w:tblInd w:w="0" w:type="dxa"/>
                              <w:tblCellMar>
                                <w:left w:w="0" w:type="dxa"/>
                                <w:right w:w="0" w:type="dxa"/>
                              </w:tblCellMar>
                            </w:tblPr>
                            <w:tblGrid>
                              <w:gridCol w:w="2552"/>
                              <w:gridCol w:w="1984"/>
                              <w:gridCol w:w="568"/>
                              <w:gridCol w:w="2552"/>
                              <w:gridCol w:w="568"/>
                              <w:gridCol w:w="1928"/>
                            </w:tblGrid>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confinement</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Traiter le matériau recueilli conformément à la section Elimination.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nettoyage</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Recueillir mécaniquement.</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Techniques inappropriées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Référence à d'autres sections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Protection individuelle: voir rubrique 8</w:t>
                                  </w: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Evacuation: voir rubrique 13</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7: Manipulation et stockage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Précautions à prendre pour une manipulation sans danger</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Recommandation</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les yeux</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la peau</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Notice explicative sur l'hygiène industrielle  générale</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d’un stockage sûr, y compris d’éventuelles incompatibilités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Protéger contre:Forte chaleur</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Utilisation(s) finale(s) particulière(s)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8: Contrôles de l’exposition/protection individuelle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Paramètres de contrôle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Contrôle de l'exposition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techniques appropriés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Mesures de protection individuelle, telles que les  équipements de protection individuelle</w:t>
                                  </w: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tout contact avec les yeux, la peau ou les vêtements.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d'exposition liés à la protection de  l'environnement</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le rejet dans l'environnement.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jeter les résidus à l'égout.</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9: Propriétés physiques et chimiques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Informations sur les propriétés physiques et chimiques essentielles</w:t>
                                  </w:r>
                                </w:p>
                              </w:tc>
                            </w:tr>
                            <w:tr>
                              <w:trPr>
                                <w:trHeight w:val="170"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État</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Aspect</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Couleur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Blanc</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Odeur</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caractéristique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Seuil olfactif</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fusion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bl>
                          <w:tbl>
                            <w:tblPr>
                              <w:tblLayout w:type="fixed"/>
                              <w:tblInd w:w="0" w:type="dxa"/>
                              <w:tblCellMar>
                                <w:left w:w="0" w:type="dxa"/>
                                <w:right w:w="0" w:type="dxa"/>
                              </w:tblCellMar>
                            </w:tblPr>
                            <w:tblGrid>
                              <w:gridCol w:w="5104"/>
                              <w:gridCol w:w="5046"/>
                            </w:tblGrid>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congélation</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d'ébullition</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éclair</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Taux d'évaporation</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inflammabilité</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inférieure d’explosivité</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supérieure d'explosivité</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Pression de la vapeur</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de la vapeur</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relative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(Eau)</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(Ethanol)</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(Acétone)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(Solvants organiques)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d’auto-inflammabilité</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de décomposition</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cinématique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dynamique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Caractéristiques des particules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Taille des particules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Autres informations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Teneur en COV</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Energie minimale d'ignition</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Conductivité</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10: Stabilité et réactivité</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Réactivité</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Ce produit est considéré comme non réactif dans des conditions normales d'utilisation.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Stabilité chimique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Possibilité de réactions dangereuses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Des réactions dangereuses ne se produisent pas si utilisé et stocké correctement.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à éviter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Matières incompatibles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Produits de décomposition dangereux</w:t>
                                  </w:r>
                                </w:p>
                              </w:tc>
                            </w:tr>
                          </w:tbl>
                          <w:tbl>
                            <w:tblPr>
                              <w:tblLayout w:type="fixed"/>
                              <w:tblInd w:w="0" w:type="dxa"/>
                              <w:tblCellMar>
                                <w:left w:w="0" w:type="dxa"/>
                                <w:right w:w="0" w:type="dxa"/>
                              </w:tblCellMar>
                            </w:tblPr>
                            <w:tblGrid>
                              <w:gridCol w:w="2836"/>
                              <w:gridCol w:w="4536"/>
                              <w:gridCol w:w="2778"/>
                            </w:tblGrid>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se décompose pas si utilisé dans les conditions prevues.</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11: Informations toxicologiques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Informations sur les effets toxicologiques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aiguë</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Compte tenu des données disponibles, les critères de classification ne sont pas remplis.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Corrosion cutanée/irritation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la peau.</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Lésions oculaires  graves/irritation oculaire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les yeux.</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Sensibilisation respiratoire ou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Sensibilisation cutanée - Catégorie 1 - Peut provoquer une allergie cutanée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entraîner une sensibilisation par contact avec la peau.</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provoquer une allergie cutanée.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Mutagénicité sur les cellules  germinales</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Cancerogénité</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pour la reproduction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unique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répétée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 par aspiration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Informations sur les autres dangers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12: Informations écologiques</w:t>
                                  </w:r>
                                </w:p>
                              </w:tc>
                            </w:tr>
                          </w:tbl>
                          <w:tbl>
                            <w:tblPr>
                              <w:tblLayout w:type="fixed"/>
                              <w:tblInd w:w="0" w:type="dxa"/>
                              <w:tblCellMar>
                                <w:left w:w="0" w:type="dxa"/>
                                <w:right w:w="0" w:type="dxa"/>
                              </w:tblCellMar>
                            </w:tblPr>
                            <w:tblGrid>
                              <w:gridCol w:w="4536"/>
                              <w:gridCol w:w="568"/>
                              <w:gridCol w:w="5046"/>
                            </w:tblGrid>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Très toxique pour les organismes aquatiques, entraîne des effets néfastes à long terme.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Persistance et dégradabilité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biochimique en oxygène (DBO)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chimique en oxygène (DCO)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 biodégradation en 28 jours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Facteur de bioconcentration (FBC)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indication relative à un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Mobilité dans le sol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Résultats des évaluations PBT et vPvB</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Propriétés perturbant le système endocrinien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Autres effets nocifs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13: Considérations relatives à l'élimination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Méthodes de traitement des déchets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de traitement des déchets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L'élimination doit se faire selon les prescriptions des autorités locales.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Evacuation des eaux</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Précautions particulières à prendre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bl>
                          <w:tbl>
                            <w:tblPr>
                              <w:tblLayout w:type="fixed"/>
                              <w:tblInd w:w="0" w:type="dxa"/>
                              <w:tblCellMar>
                                <w:left w:w="0" w:type="dxa"/>
                                <w:right w:w="0" w:type="dxa"/>
                              </w:tblCellMar>
                            </w:tblPr>
                            <w:tblGrid>
                              <w:gridCol w:w="964"/>
                              <w:gridCol w:w="738"/>
                              <w:gridCol w:w="510"/>
                              <w:gridCol w:w="624"/>
                              <w:gridCol w:w="568"/>
                              <w:gridCol w:w="1078"/>
                              <w:gridCol w:w="100"/>
                              <w:gridCol w:w="5614"/>
                            </w:tblGrid>
                            <w:tr>
                              <w:trPr>
                                <w:trHeight w:val="456" w:hRule="atLeast"/>
                              </w:trPr>
                              <w:tc>
                                <w:tcPr>
                                  <w:tcW w:w="4532"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 Communautaire ou Nationale ou  Régionale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8"/>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14: Informations relatives au transport</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Numéro ONU</w:t>
                                  </w: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Nom d’expédition des Nations unies</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Classe(s) de danger pour le transport</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Groupe d'emballage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Dangers pour l’environnement</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Précautions particulières à prendre par l’utilisateur</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en vrac conformément à l’annexe II de la convention Marpol 73/78 et au recueil IBC</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applicable</w:t>
                                  </w:r>
                                </w:p>
                              </w:tc>
                            </w:tr>
                            <w:tr>
                              <w:trPr>
                                <w:trHeight w:val="284"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8"/>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15: Informations réglementaires</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504"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Réglementations/législation particulières à la substance ou au mélange en matière de sécurité, de santé et d’environnement</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Teneur en COV</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Parfums : 5% ou plus, mais moins de 15%</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Évaluation de la sécurité chimique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Evaluation de la sécurité chimique  effectuée pour le produit</w:t>
                                  </w:r>
                                </w:p>
                              </w:tc>
                              <w:tc>
                                <w:tcPr>
                                  <w:tcW w:w="674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8"/>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16: Autres informations</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Versions de la FDS</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Date d'émission</w:t>
                                  </w:r>
                                </w:p>
                              </w:tc>
                              <w:tc>
                                <w:tcPr>
                                  <w:tcW w:w="2264" w:type="dxa"/>
                                  <w:gridSpan w:val="3"/>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Auteur</w:t>
                                  </w:r>
                                </w:p>
                              </w:tc>
                              <w:tc>
                                <w:tcPr>
                                  <w:tcW w:w="5666"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des modifications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03/05/2021</w:t>
                                  </w:r>
                                </w:p>
                              </w:tc>
                              <w:tc>
                                <w:tcPr>
                                  <w:tcW w:w="226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Textes des phrases réglementaires</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Acute Tox. 4 Oral</w:t>
                                  </w:r>
                                </w:p>
                              </w:tc>
                              <w:tc>
                                <w:tcPr>
                                  <w:tcW w:w="8444" w:type="dxa"/>
                                  <w:gridSpan w:val="6"/>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Toxicité aiguë (par voie orale) - Catégorie 4</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Acute 1</w:t>
                                  </w:r>
                                </w:p>
                              </w:tc>
                              <w:tc>
                                <w:tcPr>
                                  <w:tcW w:w="8444" w:type="dxa"/>
                                  <w:gridSpan w:val="6"/>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Acute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1</w:t>
                                  </w:r>
                                </w:p>
                              </w:tc>
                              <w:tc>
                                <w:tcPr>
                                  <w:tcW w:w="8444" w:type="dxa"/>
                                  <w:gridSpan w:val="6"/>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8444" w:type="dxa"/>
                                  <w:gridSpan w:val="6"/>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3</w:t>
                                  </w:r>
                                </w:p>
                              </w:tc>
                            </w:tr>
                          </w:tbl>
                          <w:tbl>
                            <w:tblPr>
                              <w:tblLayout w:type="fixed"/>
                              <w:tblInd w:w="0" w:type="dxa"/>
                              <w:tblCellMar>
                                <w:left w:w="0" w:type="dxa"/>
                                <w:right w:w="0" w:type="dxa"/>
                              </w:tblCellMar>
                            </w:tblPr>
                            <w:tblGrid>
                              <w:gridCol w:w="1702"/>
                              <w:gridCol w:w="8448"/>
                            </w:tblGrid>
                            <w:tr>
                              <w:trPr>
                                <w:trHeight w:val="457"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4</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4</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Asp. Tox. 1</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par aspiration - Catégorie 1</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 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oculaire - Catégorie 2</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 Liq. 3</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Liquide et vapeurs inflammables. - Catégorie 3</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 Sol. 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Matière solide inflammable. - Catégorie 2</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H317</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Peut provoquer une allergie cutanée</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Nocif pour les organismes aquatiques, entraîne des effets néfastes à long terme.</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cutanée - Catégorie 2</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1B</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Document généré informatiquement, valable sans signature.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5095" name="Rectangle 509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5096" name="Rectangle 509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5097" name="Rectangle 509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ROMARIN 2033378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5098" name="Rectangle 509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5099" name="Rectangle 509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510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5101" name="Rectangle 510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5102" name="Rectangle 510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5103" name="Rectangle 510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5104" name="Rectangle 510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60982"/>
                <wp:effectExtent l="0" t="0" r="0" b="0"/>
                <wp:wrapNone/>
                <wp:docPr id="5105" name="Rectangle 5105"/>
                <wp:cNvGraphicFramePr/>
                <a:graphic xmlns:a="http://schemas.openxmlformats.org/drawingml/2006/main">
                  <a:graphicData uri="http://schemas.microsoft.com/office/word/2010/wordprocessingShape">
                    <wps:wsp>
                      <wps:cNvSpPr/>
                      <wps:spPr bwMode="auto">
                        <a:xfrm>
                          <a:off x="541800" y="1205640"/>
                          <a:ext cx="6508440" cy="8360982"/>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5106" name="Rectangle 510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5107" name="Rectangle 510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5108" name="Rectangle 510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ROMARIN 2033378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5109" name="Rectangle 5109"/>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5110" name="Rectangle 511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511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5112" name="Rectangle 5112"/>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5113" name="Rectangle 511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5114" name="Rectangle 511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5115" name="Rectangle 511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68244"/>
                <wp:effectExtent l="0" t="0" r="0" b="0"/>
                <wp:wrapNone/>
                <wp:docPr id="5116" name="Rectangle 5116"/>
                <wp:cNvGraphicFramePr/>
                <a:graphic xmlns:a="http://schemas.openxmlformats.org/drawingml/2006/main">
                  <a:graphicData uri="http://schemas.microsoft.com/office/word/2010/wordprocessingShape">
                    <wps:wsp>
                      <wps:cNvSpPr/>
                      <wps:spPr bwMode="auto">
                        <a:xfrm>
                          <a:off x="541800" y="1205640"/>
                          <a:ext cx="6508440" cy="8468244"/>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5117" name="Rectangle 511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5118" name="Rectangle 511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5119" name="Rectangle 511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ROMARIN 2033378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5120" name="Rectangle 512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5121" name="Rectangle 512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51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5123" name="Rectangle 512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5124" name="Rectangle 512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5125" name="Rectangle 512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5126" name="Rectangle 512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77344"/>
                <wp:effectExtent l="0" t="0" r="0" b="0"/>
                <wp:wrapNone/>
                <wp:docPr id="5127" name="Rectangle 5127"/>
                <wp:cNvGraphicFramePr/>
                <a:graphic xmlns:a="http://schemas.openxmlformats.org/drawingml/2006/main">
                  <a:graphicData uri="http://schemas.microsoft.com/office/word/2010/wordprocessingShape">
                    <wps:wsp>
                      <wps:cNvSpPr/>
                      <wps:spPr bwMode="auto">
                        <a:xfrm>
                          <a:off x="541800" y="1205640"/>
                          <a:ext cx="6508440" cy="8377344"/>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5128" name="Rectangle 512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5129" name="Rectangle 512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5130" name="Rectangle 513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ROMARIN 2033378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5131" name="Rectangle 513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5132" name="Rectangle 513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513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5134" name="Rectangle 513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5135" name="Rectangle 513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5136" name="Rectangle 513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5137" name="Rectangle 513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48984"/>
                <wp:effectExtent l="0" t="0" r="0" b="0"/>
                <wp:wrapNone/>
                <wp:docPr id="5138" name="Rectangle 5138"/>
                <wp:cNvGraphicFramePr/>
                <a:graphic xmlns:a="http://schemas.openxmlformats.org/drawingml/2006/main">
                  <a:graphicData uri="http://schemas.microsoft.com/office/word/2010/wordprocessingShape">
                    <wps:wsp>
                      <wps:cNvSpPr/>
                      <wps:spPr bwMode="auto">
                        <a:xfrm>
                          <a:off x="541800" y="1205640"/>
                          <a:ext cx="6508440" cy="8348984"/>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5139" name="Rectangle 513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5140" name="Rectangle 514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5141" name="Rectangle 514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ROMARIN 2033378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5142" name="Rectangle 514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5143" name="Rectangle 514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514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5145" name="Rectangle 514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5146" name="Rectangle 514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5147" name="Rectangle 514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5148" name="Rectangle 514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68992"/>
                <wp:effectExtent l="0" t="0" r="0" b="0"/>
                <wp:wrapNone/>
                <wp:docPr id="5149" name="Rectangle 5149"/>
                <wp:cNvGraphicFramePr/>
                <a:graphic xmlns:a="http://schemas.openxmlformats.org/drawingml/2006/main">
                  <a:graphicData uri="http://schemas.microsoft.com/office/word/2010/wordprocessingShape">
                    <wps:wsp>
                      <wps:cNvSpPr/>
                      <wps:spPr bwMode="auto">
                        <a:xfrm>
                          <a:off x="541800" y="1205640"/>
                          <a:ext cx="6508440" cy="8268992"/>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5150" name="Rectangle 515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5151" name="Rectangle 515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5152" name="Rectangle 515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ROMARIN 2033378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5153" name="Rectangle 515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5154" name="Rectangle 515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515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5156" name="Rectangle 515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5157" name="Rectangle 515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5158" name="Rectangle 515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5159" name="Rectangle 515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89352"/>
                <wp:effectExtent l="0" t="0" r="0" b="0"/>
                <wp:wrapNone/>
                <wp:docPr id="5160" name="Rectangle 5160"/>
                <wp:cNvGraphicFramePr/>
                <a:graphic xmlns:a="http://schemas.openxmlformats.org/drawingml/2006/main">
                  <a:graphicData uri="http://schemas.microsoft.com/office/word/2010/wordprocessingShape">
                    <wps:wsp>
                      <wps:cNvSpPr/>
                      <wps:spPr bwMode="auto">
                        <a:xfrm>
                          <a:off x="541800" y="1205640"/>
                          <a:ext cx="6508440" cy="8289352"/>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5161" name="Rectangle 516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5162" name="Rectangle 516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5163" name="Rectangle 516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ROMARIN 2033378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5164" name="Rectangle 516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5165" name="Rectangle 516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516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5167" name="Rectangle 516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5168" name="Rectangle 516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5169" name="Rectangle 516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5170" name="Rectangle 517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75516"/>
                <wp:effectExtent l="0" t="0" r="0" b="0"/>
                <wp:wrapNone/>
                <wp:docPr id="5171" name="Rectangle 5171"/>
                <wp:cNvGraphicFramePr/>
                <a:graphic xmlns:a="http://schemas.openxmlformats.org/drawingml/2006/main">
                  <a:graphicData uri="http://schemas.microsoft.com/office/word/2010/wordprocessingShape">
                    <wps:wsp>
                      <wps:cNvSpPr/>
                      <wps:spPr bwMode="auto">
                        <a:xfrm>
                          <a:off x="541800" y="1205640"/>
                          <a:ext cx="6508440" cy="8475516"/>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5172" name="Rectangle 517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5173" name="Rectangle 517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5174" name="Rectangle 517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ROMARIN 2033378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5175" name="Rectangle 517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5176" name="Rectangle 517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517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3">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5178" name="Rectangle 517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5179" name="Rectangle 517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5180" name="Rectangle 518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5181" name="Rectangle 518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3683268"/>
                <wp:effectExtent l="0" t="0" r="0" b="0"/>
                <wp:wrapNone/>
                <wp:docPr id="5182" name="Rectangle 5182"/>
                <wp:cNvGraphicFramePr/>
                <a:graphic xmlns:a="http://schemas.openxmlformats.org/drawingml/2006/main">
                  <a:graphicData uri="http://schemas.microsoft.com/office/word/2010/wordprocessingShape">
                    <wps:wsp>
                      <wps:cNvSpPr/>
                      <wps:spPr bwMode="auto">
                        <a:xfrm>
                          <a:off x="541800" y="1205640"/>
                          <a:ext cx="6508440" cy="3683268"/>
                        </a:xfrm>
                        <a:prstGeom prst="rect">
                          <a:avLst/>
                        </a:prstGeom>
                        <a:ln w="0" cap="sq" cmpd="sng">
                          <a:noFill/>
                          <a:miter lim="800000"/>
                        </a:ln>
                      </wps:spPr>
                      <wps:linkedTxbx id="1" seq="8"/>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5183" name="Rectangle 518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9/9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5184" name="Rectangle 518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5185" name="Rectangle 518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ROMARIN 2033378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5186" name="Rectangle 518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5187" name="Rectangle 518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518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4">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5189" name="Rectangle 518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5190" name="Rectangle 519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5191" name="Rectangle 519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5192" name="Rectangle 519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926" Type="http://schemas.openxmlformats.org/officeDocument/2006/relationships/customXml" Target="../customXml/item2.xml"/><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1.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image" Target="/media/image10.jpg"/><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image" Target="/media/image9.jpg"/><Relationship Id="rId919" Type="http://schemas.openxmlformats.org/officeDocument/2006/relationships/image" Target="/media/image5.jpg"/><Relationship Id="rId922" Type="http://schemas.openxmlformats.org/officeDocument/2006/relationships/image" Target="/media/image8.jpg"/><Relationship Id="rId927" Type="http://schemas.openxmlformats.org/officeDocument/2006/relationships/customXml" Target="../customXml/item3.xml"/><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Props1.xml><?xml version="1.0" encoding="utf-8"?>
<ds:datastoreItem xmlns:ds="http://schemas.openxmlformats.org/officeDocument/2006/customXml" ds:itemID="{79CC7AF8-A681-4D9B-BAB2-99B98AE7F89E}"/>
</file>

<file path=customXml/itemProps2.xml><?xml version="1.0" encoding="utf-8"?>
<ds:datastoreItem xmlns:ds="http://schemas.openxmlformats.org/officeDocument/2006/customXml" ds:itemID="{284AD69B-B3D8-4327-B5F0-C6CE86EAE73D}"/>
</file>

<file path=customXml/itemProps3.xml><?xml version="1.0" encoding="utf-8"?>
<ds:datastoreItem xmlns:ds="http://schemas.openxmlformats.org/officeDocument/2006/customXml" ds:itemID="{43F9FB54-B340-4CA4-9332-376E7FB70544}"/>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