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006e924176334328"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5480" name="Rectangle 5480"/>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ROSE ET FLEUR DE POMMIER 1802226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1-(1,2,3,4,5,6,7,8-octahydro-2,3,8,8-tetramethyl-2- naphthalenyl)ethanone (CAS No.: 54464-57-2)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548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81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isoeugenol (97-54-1) | E/Z 3-METHYL-5-CYCLOTETRADECEN-1-ONE (259854-70-1) | 1-(1,2,3,4,5,6,7,8-octahydro-2,3,8,8-tetramethyl-2- naphthalenyl)ethanone (54464-57-2) | linalyl acetate (115-95-7) | d-limonene (r)-p-mentha-1,8-diene (5989-27-5) | alpha-iso-methylionone (127-51-5) | benzyl salicylate (118-58-1) | 7-hydroxycitronellal (107-75-5) | α-methyl-1,3-benzodioxole-5-propionaldehyde (alpha-methyl-3,4-methylene-dioxyhydrocinnamic aldehyde) (1205-17-0) | citronellol (106-22-9)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54464-57-2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0,356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106-22-9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7-hydroxycitronellal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107-75-5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203-518-7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0,234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alpha-iso-methylionone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127-51-5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204-846-3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α-methyl-1,3-benzodioxole-5-p ropionaldehyde (alpha-methyl-3,4-methylene-d ioxyhydrocinnamic 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1205-17-0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214-881-6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Repr. 2 - H361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bl>
                          <w:tbl>
                            <w:tblPr>
                              <w:tblLayout w:type="fixed"/>
                              <w:tblInd w:w="0" w:type="dxa"/>
                              <w:tblCellMar>
                                <w:left w:w="0" w:type="dxa"/>
                                <w:right w:w="0" w:type="dxa"/>
                              </w:tblCellMar>
                            </w:tblPr>
                            <w:tblGrid>
                              <w:gridCol w:w="4536"/>
                              <w:gridCol w:w="3686"/>
                              <w:gridCol w:w="1928"/>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bl>
                          <w:tbl>
                            <w:tblPr>
                              <w:tblLayout w:type="fixed"/>
                              <w:tblInd w:w="0" w:type="dxa"/>
                              <w:tblCellMar>
                                <w:left w:w="0" w:type="dxa"/>
                                <w:right w:w="0" w:type="dxa"/>
                              </w:tblCellMar>
                            </w:tblPr>
                            <w:tblGrid>
                              <w:gridCol w:w="2552"/>
                              <w:gridCol w:w="2552"/>
                              <w:gridCol w:w="2552"/>
                              <w:gridCol w:w="2494"/>
                            </w:tblGrid>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5104"/>
                              <w:gridCol w:w="5046"/>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Repr.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pour la reproduction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482" name="Rectangle 548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483" name="Rectangle 548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484" name="Rectangle 548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ET FLEUR DE POMMIER 1802226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485" name="Rectangle 548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486" name="Rectangle 548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48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488" name="Rectangle 548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489" name="Rectangle 548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490" name="Rectangle 549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491" name="Rectangle 549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6974"/>
                <wp:effectExtent l="0" t="0" r="0" b="0"/>
                <wp:wrapNone/>
                <wp:docPr id="5492" name="Rectangle 5492"/>
                <wp:cNvGraphicFramePr/>
                <a:graphic xmlns:a="http://schemas.openxmlformats.org/drawingml/2006/main">
                  <a:graphicData uri="http://schemas.microsoft.com/office/word/2010/wordprocessingShape">
                    <wps:wsp>
                      <wps:cNvSpPr/>
                      <wps:spPr bwMode="auto">
                        <a:xfrm>
                          <a:off x="541800" y="1205640"/>
                          <a:ext cx="6508440" cy="843697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493" name="Rectangle 549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494" name="Rectangle 549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495" name="Rectangle 549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ET FLEUR DE POMMIER 1802226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496" name="Rectangle 549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497" name="Rectangle 549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49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499" name="Rectangle 549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500" name="Rectangle 550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501" name="Rectangle 550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502" name="Rectangle 550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1172"/>
                <wp:effectExtent l="0" t="0" r="0" b="0"/>
                <wp:wrapNone/>
                <wp:docPr id="5503" name="Rectangle 5503"/>
                <wp:cNvGraphicFramePr/>
                <a:graphic xmlns:a="http://schemas.openxmlformats.org/drawingml/2006/main">
                  <a:graphicData uri="http://schemas.microsoft.com/office/word/2010/wordprocessingShape">
                    <wps:wsp>
                      <wps:cNvSpPr/>
                      <wps:spPr bwMode="auto">
                        <a:xfrm>
                          <a:off x="541800" y="1205640"/>
                          <a:ext cx="6508440" cy="827117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504" name="Rectangle 550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505" name="Rectangle 550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506" name="Rectangle 550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ET FLEUR DE POMMIER 1802226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507" name="Rectangle 550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508" name="Rectangle 550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50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510" name="Rectangle 551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511" name="Rectangle 551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512" name="Rectangle 551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513" name="Rectangle 551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4440"/>
                <wp:effectExtent l="0" t="0" r="0" b="0"/>
                <wp:wrapNone/>
                <wp:docPr id="5514" name="Rectangle 5514"/>
                <wp:cNvGraphicFramePr/>
                <a:graphic xmlns:a="http://schemas.openxmlformats.org/drawingml/2006/main">
                  <a:graphicData uri="http://schemas.microsoft.com/office/word/2010/wordprocessingShape">
                    <wps:wsp>
                      <wps:cNvSpPr/>
                      <wps:spPr bwMode="auto">
                        <a:xfrm>
                          <a:off x="541800" y="1205640"/>
                          <a:ext cx="6508440" cy="833444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515" name="Rectangle 551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516" name="Rectangle 551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517" name="Rectangle 551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ET FLEUR DE POMMIER 1802226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518" name="Rectangle 551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519" name="Rectangle 551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52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521" name="Rectangle 552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522" name="Rectangle 552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523" name="Rectangle 552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524" name="Rectangle 552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2808"/>
                <wp:effectExtent l="0" t="0" r="0" b="0"/>
                <wp:wrapNone/>
                <wp:docPr id="5525" name="Rectangle 5525"/>
                <wp:cNvGraphicFramePr/>
                <a:graphic xmlns:a="http://schemas.openxmlformats.org/drawingml/2006/main">
                  <a:graphicData uri="http://schemas.microsoft.com/office/word/2010/wordprocessingShape">
                    <wps:wsp>
                      <wps:cNvSpPr/>
                      <wps:spPr bwMode="auto">
                        <a:xfrm>
                          <a:off x="541800" y="1205640"/>
                          <a:ext cx="6508440" cy="828280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526" name="Rectangle 552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527" name="Rectangle 552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528" name="Rectangle 552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ET FLEUR DE POMMIER 1802226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529" name="Rectangle 552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530" name="Rectangle 553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5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532" name="Rectangle 553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533" name="Rectangle 553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534" name="Rectangle 553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535" name="Rectangle 553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6978"/>
                <wp:effectExtent l="0" t="0" r="0" b="0"/>
                <wp:wrapNone/>
                <wp:docPr id="5536" name="Rectangle 5536"/>
                <wp:cNvGraphicFramePr/>
                <a:graphic xmlns:a="http://schemas.openxmlformats.org/drawingml/2006/main">
                  <a:graphicData uri="http://schemas.microsoft.com/office/word/2010/wordprocessingShape">
                    <wps:wsp>
                      <wps:cNvSpPr/>
                      <wps:spPr bwMode="auto">
                        <a:xfrm>
                          <a:off x="541800" y="1205640"/>
                          <a:ext cx="6508440" cy="839697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537" name="Rectangle 553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538" name="Rectangle 553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539" name="Rectangle 553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ET FLEUR DE POMMIER 1802226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540" name="Rectangle 554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541" name="Rectangle 554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54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543" name="Rectangle 554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544" name="Rectangle 554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545" name="Rectangle 554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546" name="Rectangle 554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0988"/>
                <wp:effectExtent l="0" t="0" r="0" b="0"/>
                <wp:wrapNone/>
                <wp:docPr id="5547" name="Rectangle 5547"/>
                <wp:cNvGraphicFramePr/>
                <a:graphic xmlns:a="http://schemas.openxmlformats.org/drawingml/2006/main">
                  <a:graphicData uri="http://schemas.microsoft.com/office/word/2010/wordprocessingShape">
                    <wps:wsp>
                      <wps:cNvSpPr/>
                      <wps:spPr bwMode="auto">
                        <a:xfrm>
                          <a:off x="541800" y="1205640"/>
                          <a:ext cx="6508440" cy="830098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548" name="Rectangle 554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549" name="Rectangle 554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550" name="Rectangle 555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ET FLEUR DE POMMIER 1802226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551" name="Rectangle 555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552" name="Rectangle 555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55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554" name="Rectangle 555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555" name="Rectangle 555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556" name="Rectangle 555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557" name="Rectangle 555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3174"/>
                <wp:effectExtent l="0" t="0" r="0" b="0"/>
                <wp:wrapNone/>
                <wp:docPr id="5558" name="Rectangle 5558"/>
                <wp:cNvGraphicFramePr/>
                <a:graphic xmlns:a="http://schemas.openxmlformats.org/drawingml/2006/main">
                  <a:graphicData uri="http://schemas.microsoft.com/office/word/2010/wordprocessingShape">
                    <wps:wsp>
                      <wps:cNvSpPr/>
                      <wps:spPr bwMode="auto">
                        <a:xfrm>
                          <a:off x="541800" y="1205640"/>
                          <a:ext cx="6508440" cy="826317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559" name="Rectangle 555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560" name="Rectangle 556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561" name="Rectangle 556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ET FLEUR DE POMMIER 1802226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562" name="Rectangle 556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563" name="Rectangle 556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56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565" name="Rectangle 556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566" name="Rectangle 556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567" name="Rectangle 556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568" name="Rectangle 556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4545000"/>
                <wp:effectExtent l="0" t="0" r="0" b="0"/>
                <wp:wrapNone/>
                <wp:docPr id="5569" name="Rectangle 5569"/>
                <wp:cNvGraphicFramePr/>
                <a:graphic xmlns:a="http://schemas.openxmlformats.org/drawingml/2006/main">
                  <a:graphicData uri="http://schemas.microsoft.com/office/word/2010/wordprocessingShape">
                    <wps:wsp>
                      <wps:cNvSpPr/>
                      <wps:spPr bwMode="auto">
                        <a:xfrm>
                          <a:off x="541800" y="1205640"/>
                          <a:ext cx="6508440" cy="4545000"/>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570" name="Rectangle 557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571" name="Rectangle 557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572" name="Rectangle 557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ROSE ET FLEUR DE POMMIER 1802226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573" name="Rectangle 557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574" name="Rectangle 557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57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576" name="Rectangle 557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577" name="Rectangle 557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578" name="Rectangle 557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579" name="Rectangle 557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F9256C43-E4EC-4B69-87BD-847EFF9AF4FE}"/>
</file>

<file path=customXml/itemProps2.xml><?xml version="1.0" encoding="utf-8"?>
<ds:datastoreItem xmlns:ds="http://schemas.openxmlformats.org/officeDocument/2006/customXml" ds:itemID="{E7C769E9-AFBB-49C4-89D0-D3F5A2CC5B90}"/>
</file>

<file path=customXml/itemProps3.xml><?xml version="1.0" encoding="utf-8"?>
<ds:datastoreItem xmlns:ds="http://schemas.openxmlformats.org/officeDocument/2006/customXml" ds:itemID="{7DE0CCA9-EB6F-46F2-8394-236E53942DE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